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56A67" w14:textId="77777777" w:rsidR="005E6514" w:rsidRDefault="00A66738">
      <w:pPr>
        <w:pBdr>
          <w:top w:val="nil"/>
          <w:left w:val="nil"/>
          <w:bottom w:val="nil"/>
          <w:right w:val="nil"/>
          <w:between w:val="nil"/>
        </w:pBdr>
        <w:rPr>
          <w:rFonts w:ascii="Arial Narrow" w:eastAsia="Arial Narrow" w:hAnsi="Arial Narrow" w:cs="Arial Narrow"/>
          <w:b/>
          <w:color w:val="000000"/>
          <w:sz w:val="28"/>
          <w:szCs w:val="28"/>
        </w:rPr>
      </w:pPr>
      <w:bookmarkStart w:id="0" w:name="_gjdgxs" w:colFirst="0" w:colLast="0"/>
      <w:bookmarkEnd w:id="0"/>
      <w:r>
        <w:rPr>
          <w:rFonts w:ascii="Arial Narrow" w:eastAsia="Arial Narrow" w:hAnsi="Arial Narrow" w:cs="Arial Narrow"/>
          <w:b/>
          <w:color w:val="000000"/>
          <w:sz w:val="28"/>
          <w:szCs w:val="28"/>
        </w:rPr>
        <w:t>D – 02.03.01 WYKONANIE  NASYPÓW</w:t>
      </w:r>
    </w:p>
    <w:p w14:paraId="580FCABB"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Kod CPV:45111000-8</w:t>
      </w:r>
    </w:p>
    <w:p w14:paraId="70E1558D" w14:textId="77777777" w:rsidR="005E6514" w:rsidRDefault="00A66738">
      <w:pPr>
        <w:pBdr>
          <w:top w:val="nil"/>
          <w:left w:val="nil"/>
          <w:bottom w:val="nil"/>
          <w:right w:val="nil"/>
          <w:between w:val="nil"/>
        </w:pBdr>
        <w:ind w:firstLine="709"/>
        <w:rPr>
          <w:rFonts w:ascii="Arial Narrow" w:eastAsia="Arial Narrow" w:hAnsi="Arial Narrow" w:cs="Arial Narrow"/>
          <w:color w:val="000000"/>
        </w:rPr>
      </w:pPr>
      <w:r>
        <w:rPr>
          <w:rFonts w:ascii="Arial Narrow" w:eastAsia="Arial Narrow" w:hAnsi="Arial Narrow" w:cs="Arial Narrow"/>
          <w:color w:val="000000"/>
        </w:rPr>
        <w:t>Roboty w zakresie burzenia, roboty ziemne.</w:t>
      </w:r>
    </w:p>
    <w:p w14:paraId="0F9BF876" w14:textId="77777777" w:rsidR="005E6514" w:rsidRDefault="005E6514">
      <w:pPr>
        <w:pBdr>
          <w:top w:val="nil"/>
          <w:left w:val="nil"/>
          <w:bottom w:val="nil"/>
          <w:right w:val="nil"/>
          <w:between w:val="nil"/>
        </w:pBdr>
        <w:ind w:firstLine="454"/>
        <w:jc w:val="center"/>
        <w:rPr>
          <w:rFonts w:ascii="Arial Narrow" w:eastAsia="Arial Narrow" w:hAnsi="Arial Narrow" w:cs="Arial Narrow"/>
          <w:color w:val="000000"/>
          <w:sz w:val="22"/>
          <w:szCs w:val="22"/>
        </w:rPr>
      </w:pPr>
    </w:p>
    <w:p w14:paraId="6D97929E"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1. WSTĘP</w:t>
      </w:r>
    </w:p>
    <w:p w14:paraId="6AE0A9B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1.1 Przedmiot </w:t>
      </w:r>
      <w:proofErr w:type="spellStart"/>
      <w:r>
        <w:rPr>
          <w:rFonts w:ascii="Arial Narrow" w:eastAsia="Arial Narrow" w:hAnsi="Arial Narrow" w:cs="Arial Narrow"/>
          <w:b/>
          <w:color w:val="000000"/>
          <w:sz w:val="28"/>
          <w:szCs w:val="28"/>
        </w:rPr>
        <w:t>STWiORB</w:t>
      </w:r>
      <w:proofErr w:type="spellEnd"/>
    </w:p>
    <w:p w14:paraId="47DC98B1" w14:textId="77777777" w:rsidR="005E6514" w:rsidRDefault="00A66738">
      <w:pPr>
        <w:pBdr>
          <w:top w:val="nil"/>
          <w:left w:val="nil"/>
          <w:bottom w:val="nil"/>
          <w:right w:val="nil"/>
          <w:between w:val="nil"/>
        </w:pBdr>
        <w:ind w:firstLine="454"/>
        <w:jc w:val="both"/>
        <w:rPr>
          <w:rFonts w:ascii="Arial Narrow" w:eastAsia="Arial Narrow" w:hAnsi="Arial Narrow" w:cs="Arial Narrow"/>
          <w:color w:val="000000"/>
        </w:rPr>
      </w:pPr>
      <w:r>
        <w:rPr>
          <w:rFonts w:ascii="Arial Narrow" w:eastAsia="Arial Narrow" w:hAnsi="Arial Narrow" w:cs="Arial Narrow"/>
          <w:color w:val="000000"/>
        </w:rPr>
        <w:t>Przedmiotem niniejszej Specyfikacji Technicznej Wykonania i Odbioru Robót  Budowlanych są wymagania dotyczące wykonania i odbioru robót ziemnych : nasypów.</w:t>
      </w:r>
    </w:p>
    <w:p w14:paraId="74DAA0D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1.2 Zakres stosowania </w:t>
      </w:r>
      <w:proofErr w:type="spellStart"/>
      <w:r>
        <w:rPr>
          <w:rFonts w:ascii="Arial Narrow" w:eastAsia="Arial Narrow" w:hAnsi="Arial Narrow" w:cs="Arial Narrow"/>
          <w:b/>
          <w:color w:val="000000"/>
          <w:sz w:val="28"/>
          <w:szCs w:val="28"/>
        </w:rPr>
        <w:t>STWiORB</w:t>
      </w:r>
      <w:proofErr w:type="spellEnd"/>
    </w:p>
    <w:p w14:paraId="0258DFC1" w14:textId="406C182E" w:rsidR="005E6514" w:rsidRDefault="00A66738">
      <w:pPr>
        <w:pBdr>
          <w:top w:val="nil"/>
          <w:left w:val="nil"/>
          <w:bottom w:val="nil"/>
          <w:right w:val="nil"/>
          <w:between w:val="nil"/>
        </w:pBdr>
        <w:tabs>
          <w:tab w:val="left" w:pos="-1440"/>
          <w:tab w:val="left" w:pos="-720"/>
          <w:tab w:val="left" w:pos="0"/>
        </w:tabs>
        <w:ind w:firstLine="454"/>
        <w:jc w:val="both"/>
        <w:rPr>
          <w:rFonts w:ascii="Arial Narrow" w:eastAsia="Arial Narrow" w:hAnsi="Arial Narrow" w:cs="Arial Narrow"/>
          <w:color w:val="000000"/>
        </w:rPr>
      </w:pPr>
      <w:bookmarkStart w:id="1" w:name="_30j0zll" w:colFirst="0" w:colLast="0"/>
      <w:bookmarkEnd w:id="1"/>
      <w:r>
        <w:rPr>
          <w:rFonts w:ascii="Arial Narrow" w:eastAsia="Arial Narrow" w:hAnsi="Arial Narrow" w:cs="Arial Narrow"/>
          <w:color w:val="000000"/>
        </w:rPr>
        <w:t>Specyfikacje Techniczne Wykonania i Odbioru Robót Budowlanych stanowią Dokument Przetargowy i Kontraktowy przy zlecaniu i realizacji robót na dro</w:t>
      </w:r>
      <w:r w:rsidR="00BD6012">
        <w:rPr>
          <w:rFonts w:ascii="Arial Narrow" w:eastAsia="Arial Narrow" w:hAnsi="Arial Narrow" w:cs="Arial Narrow"/>
          <w:color w:val="000000"/>
        </w:rPr>
        <w:t xml:space="preserve">dze gminnej </w:t>
      </w:r>
      <w:r w:rsidR="00466F2F">
        <w:rPr>
          <w:rFonts w:ascii="Arial Narrow" w:eastAsia="Arial Narrow" w:hAnsi="Arial Narrow" w:cs="Arial Narrow"/>
          <w:color w:val="000000"/>
        </w:rPr>
        <w:t>nr 0601</w:t>
      </w:r>
      <w:r w:rsidR="0070524D">
        <w:rPr>
          <w:rFonts w:ascii="Arial Narrow" w:eastAsia="Arial Narrow" w:hAnsi="Arial Narrow" w:cs="Arial Narrow"/>
          <w:color w:val="000000"/>
        </w:rPr>
        <w:t>12</w:t>
      </w:r>
      <w:r w:rsidR="00466F2F">
        <w:rPr>
          <w:rFonts w:ascii="Arial Narrow" w:eastAsia="Arial Narrow" w:hAnsi="Arial Narrow" w:cs="Arial Narrow"/>
          <w:color w:val="000000"/>
        </w:rPr>
        <w:t>C</w:t>
      </w:r>
      <w:r w:rsidR="008B7876">
        <w:rPr>
          <w:rFonts w:ascii="Arial Narrow" w:eastAsia="Arial Narrow" w:hAnsi="Arial Narrow" w:cs="Arial Narrow"/>
          <w:color w:val="000000"/>
        </w:rPr>
        <w:t>.</w:t>
      </w:r>
    </w:p>
    <w:p w14:paraId="268C909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1.3. Zakres robót objętych SST</w:t>
      </w:r>
    </w:p>
    <w:p w14:paraId="79946B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 w:name="_1fob9te" w:colFirst="0" w:colLast="0"/>
      <w:bookmarkEnd w:id="2"/>
      <w:r>
        <w:rPr>
          <w:rFonts w:ascii="Arial Narrow" w:eastAsia="Arial Narrow" w:hAnsi="Arial Narrow" w:cs="Arial Narrow"/>
          <w:color w:val="000000"/>
        </w:rPr>
        <w:t xml:space="preserve">Ustalenia zawarte w niniejszej specyfikacji dotyczą zasad prowadzenia robót ziemnych w czasie budowy lub modernizacji dróg i obejmują wykonanie nasypów. </w:t>
      </w:r>
    </w:p>
    <w:p w14:paraId="4DEF81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1.4. Określenia podstawowe</w:t>
      </w:r>
    </w:p>
    <w:p w14:paraId="784EA82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 w:name="_3znysh7" w:colFirst="0" w:colLast="0"/>
      <w:bookmarkEnd w:id="3"/>
      <w:r>
        <w:rPr>
          <w:rFonts w:ascii="Arial Narrow" w:eastAsia="Arial Narrow" w:hAnsi="Arial Narrow" w:cs="Arial Narrow"/>
          <w:color w:val="000000"/>
        </w:rPr>
        <w:t>Podstawowe określenia zostały podane w SST D-02.00.01 pkt 1.4.</w:t>
      </w:r>
    </w:p>
    <w:p w14:paraId="7C96E0D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1.5. Ogólne wymagania dotyczące robót</w:t>
      </w:r>
    </w:p>
    <w:p w14:paraId="433CD3A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 w:name="_2et92p0" w:colFirst="0" w:colLast="0"/>
      <w:bookmarkEnd w:id="4"/>
      <w:r>
        <w:rPr>
          <w:rFonts w:ascii="Arial Narrow" w:eastAsia="Arial Narrow" w:hAnsi="Arial Narrow" w:cs="Arial Narrow"/>
          <w:color w:val="000000"/>
        </w:rPr>
        <w:t>Ogólne wymagania dotyczące robót podano w SST D-02.00.01 pkt 1.5.</w:t>
      </w:r>
    </w:p>
    <w:p w14:paraId="0F907A06"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5" w:name="_tyjcwt" w:colFirst="0" w:colLast="0"/>
      <w:bookmarkEnd w:id="5"/>
      <w:r>
        <w:rPr>
          <w:rFonts w:ascii="Arial Narrow" w:eastAsia="Arial Narrow" w:hAnsi="Arial Narrow" w:cs="Arial Narrow"/>
          <w:b/>
          <w:smallCaps/>
          <w:color w:val="000000"/>
          <w:sz w:val="28"/>
          <w:szCs w:val="28"/>
        </w:rPr>
        <w:t xml:space="preserve">2. MATERIAŁY </w:t>
      </w:r>
    </w:p>
    <w:p w14:paraId="34A5EF2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2.1 Ogólne wymagania dotyczące materiałów </w:t>
      </w:r>
    </w:p>
    <w:p w14:paraId="5CD57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2.1.1. Ogólne wymagania dotyczące materiałów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2". </w:t>
      </w:r>
    </w:p>
    <w:p w14:paraId="045B0CA5"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6" w:name="_3dy6vkm" w:colFirst="0" w:colLast="0"/>
      <w:bookmarkEnd w:id="6"/>
      <w:r>
        <w:rPr>
          <w:rFonts w:ascii="Arial Narrow" w:eastAsia="Arial Narrow" w:hAnsi="Arial Narrow" w:cs="Arial Narrow"/>
          <w:b/>
          <w:smallCaps/>
          <w:color w:val="000000"/>
          <w:sz w:val="28"/>
          <w:szCs w:val="28"/>
        </w:rPr>
        <w:t xml:space="preserve">3. SPRZĘT </w:t>
      </w:r>
    </w:p>
    <w:p w14:paraId="3400CF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7" w:name="_1t3h5sf" w:colFirst="0" w:colLast="0"/>
      <w:bookmarkEnd w:id="7"/>
      <w:r>
        <w:rPr>
          <w:rFonts w:ascii="Arial Narrow" w:eastAsia="Arial Narrow" w:hAnsi="Arial Narrow" w:cs="Arial Narrow"/>
          <w:b/>
          <w:color w:val="000000"/>
          <w:sz w:val="28"/>
          <w:szCs w:val="28"/>
        </w:rPr>
        <w:t xml:space="preserve">3.1 Ogólne wymagania dotyczące sprzętu </w:t>
      </w:r>
    </w:p>
    <w:p w14:paraId="1E21D533"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8" w:name="_4d34og8" w:colFirst="0" w:colLast="0"/>
      <w:bookmarkEnd w:id="8"/>
      <w:r>
        <w:rPr>
          <w:rFonts w:ascii="Arial Narrow" w:eastAsia="Arial Narrow" w:hAnsi="Arial Narrow" w:cs="Arial Narrow"/>
          <w:color w:val="000000"/>
        </w:rPr>
        <w:t xml:space="preserve">3.1.1. Ogólne wymagania dotyczące sprzętu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3". </w:t>
      </w:r>
    </w:p>
    <w:p w14:paraId="12FCC82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9" w:name="_2s8eyo1" w:colFirst="0" w:colLast="0"/>
      <w:bookmarkEnd w:id="9"/>
      <w:r>
        <w:rPr>
          <w:rFonts w:ascii="Arial Narrow" w:eastAsia="Arial Narrow" w:hAnsi="Arial Narrow" w:cs="Arial Narrow"/>
          <w:b/>
          <w:smallCaps/>
          <w:color w:val="000000"/>
          <w:sz w:val="28"/>
          <w:szCs w:val="28"/>
        </w:rPr>
        <w:t xml:space="preserve">4. TRANSPORT </w:t>
      </w:r>
    </w:p>
    <w:p w14:paraId="0696D2E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4.1 Ogólne wymagania dotyczące transportu </w:t>
      </w:r>
    </w:p>
    <w:p w14:paraId="63261992"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0" w:name="_17dp8vu" w:colFirst="0" w:colLast="0"/>
      <w:bookmarkEnd w:id="10"/>
      <w:r>
        <w:rPr>
          <w:rFonts w:ascii="Arial Narrow" w:eastAsia="Arial Narrow" w:hAnsi="Arial Narrow" w:cs="Arial Narrow"/>
          <w:color w:val="000000"/>
        </w:rPr>
        <w:t xml:space="preserve">4.1.1. Ogólne wymagania dotyczące transportu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4 oraz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4. </w:t>
      </w:r>
    </w:p>
    <w:p w14:paraId="47AFE994"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11" w:name="_3rdcrjn" w:colFirst="0" w:colLast="0"/>
      <w:bookmarkEnd w:id="11"/>
      <w:r>
        <w:rPr>
          <w:rFonts w:ascii="Arial Narrow" w:eastAsia="Arial Narrow" w:hAnsi="Arial Narrow" w:cs="Arial Narrow"/>
          <w:b/>
          <w:smallCaps/>
          <w:color w:val="000000"/>
          <w:sz w:val="28"/>
          <w:szCs w:val="28"/>
        </w:rPr>
        <w:t xml:space="preserve">5. WYKONANIE ROBÓT </w:t>
      </w:r>
    </w:p>
    <w:p w14:paraId="42A0B00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 Ogólne zasady wykonania robót </w:t>
      </w:r>
    </w:p>
    <w:p w14:paraId="298EC208" w14:textId="77777777" w:rsidR="005E6514" w:rsidRDefault="00A66738">
      <w:pPr>
        <w:pBdr>
          <w:top w:val="nil"/>
          <w:left w:val="nil"/>
          <w:bottom w:val="nil"/>
          <w:right w:val="nil"/>
          <w:between w:val="nil"/>
        </w:pBdr>
        <w:jc w:val="both"/>
        <w:rPr>
          <w:rFonts w:ascii="Arial Narrow" w:eastAsia="Arial Narrow" w:hAnsi="Arial Narrow" w:cs="Arial Narrow"/>
          <w:color w:val="000000"/>
        </w:rPr>
      </w:pPr>
      <w:bookmarkStart w:id="12" w:name="_26in1rg" w:colFirst="0" w:colLast="0"/>
      <w:bookmarkEnd w:id="12"/>
      <w:r>
        <w:rPr>
          <w:rFonts w:ascii="Arial Narrow" w:eastAsia="Arial Narrow" w:hAnsi="Arial Narrow" w:cs="Arial Narrow"/>
          <w:color w:val="000000"/>
        </w:rPr>
        <w:t xml:space="preserve">5.1.1. Ogólne zasady prowadzenia robót ziemnych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5.  </w:t>
      </w:r>
    </w:p>
    <w:p w14:paraId="64B6888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5.2 Ukop i dokop </w:t>
      </w:r>
    </w:p>
    <w:p w14:paraId="49A11B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5.2.1.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 </w:t>
      </w:r>
    </w:p>
    <w:p w14:paraId="44BA49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5.2.2. Jeżeli jest konieczne wykonanie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to jego miejsce może być wskazane  w Dokumentacji Projektowej, Kontrakcie lub przez Inżyniera/ Inspektora nadzoru albo może być wybrane przez Wykonawcę i zatwierdzone przez Inżyniera/ Inspektora nadzoru po przedstawieniu dokumentów zgodnie z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t>
      </w:r>
    </w:p>
    <w:p w14:paraId="39979A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5.2.3. Pozyskiwanie gruntu, skały lub materiału z ukopu albo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 </w:t>
      </w:r>
    </w:p>
    <w:p w14:paraId="08035A7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5.2.4. 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3B33D9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5.2.5. Dno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należy wykonać ze spadkiem od 2 do 3% w kierunku możliwego spływu wody. O ile to konieczne, ukop (dokop) należy odwodnić przez wykonanie rowu odpływowego. </w:t>
      </w:r>
    </w:p>
    <w:p w14:paraId="0E4E649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5.2.6. Jeżeli ukop lub dokop jest zlokalizowany na zboczu, nie może on naruszać stateczności  zbocza. W przypadkach wątpliwych Wykonawca przedstawi Inżynierowi/Inspektorowi nadzoru analizę stateczności zbocza uwzględniającą wykonanie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7076623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5.2.7. Dno i skarpy ukopu oraz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po zakończeniu jego eksploatacji powinny być  tak ukształtowane, aby harmonizowały z otaczającym terenem. Na dnie i skarpach należy przeprowadzić rekultywację. </w:t>
      </w:r>
    </w:p>
    <w:p w14:paraId="08A335B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3" w:name="_lnxbz9" w:colFirst="0" w:colLast="0"/>
      <w:bookmarkEnd w:id="13"/>
      <w:r>
        <w:rPr>
          <w:rFonts w:ascii="Arial Narrow" w:eastAsia="Arial Narrow" w:hAnsi="Arial Narrow" w:cs="Arial Narrow"/>
          <w:color w:val="000000"/>
        </w:rPr>
        <w:t xml:space="preserve">5.2.8. Jeżeli Wykonawca odspoił i wbudował w nasyp nadmierną ilość gruntu, skały lub materiału pochodzącego z ukopu lub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w konsekwencji zachodzi konieczność przewiezienia na odkład równoważnej ilości gruntu, skały lub materiału przydatnego do wykonania nasypów, pochodzącego z wykopu, to koszt tych czynności w całości obciąża Wykonawcę. </w:t>
      </w:r>
    </w:p>
    <w:p w14:paraId="784FB36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5.3 Przygotowanie podłoża w obrębie podstawy nasypu </w:t>
      </w:r>
    </w:p>
    <w:p w14:paraId="24A3143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5.3.1. Przed przystąpieniem do budowy nasypu należy, w obrębie jego podstawy, zakończyć roboty przygotowawcze,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„Roboty przygotowawcze”. </w:t>
      </w:r>
    </w:p>
    <w:p w14:paraId="1F4A93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5.3.2. Jeżeli pochylenie poprzeczne terenu w stosunku do osi nasypu jest większe niż 1:5 należy, dla zabezpieczenia przed zsuwaniem się nasypu, wykonać w zboczu stopnie o spadku górnej powierzchni, wynoszącym około  4% </w:t>
      </w:r>
      <w:r>
        <w:rPr>
          <w:rFonts w:ascii="Arial Narrow" w:eastAsia="Arial Narrow" w:hAnsi="Arial Narrow" w:cs="Arial Narrow"/>
          <w:color w:val="000000"/>
        </w:rPr>
        <w:t xml:space="preserve"> 1%. Szerokość i wysokość stopni należy dopasować do stosowanego sprzętu. Orientacyjna szerokość stopni wynosi od 1,0 do 2,5 metra. </w:t>
      </w:r>
    </w:p>
    <w:p w14:paraId="0B0DB2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5.3.3. 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 </w:t>
      </w:r>
    </w:p>
    <w:p w14:paraId="278672E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5.1. Minimalne wartości wskaźnika zagęszczenia w podłożu nasypów do głębokości 0,5 m od powierzchni terenu </w:t>
      </w:r>
    </w:p>
    <w:tbl>
      <w:tblPr>
        <w:tblStyle w:val="a"/>
        <w:tblW w:w="8649" w:type="dxa"/>
        <w:tblInd w:w="852" w:type="dxa"/>
        <w:tblLayout w:type="fixed"/>
        <w:tblLook w:val="0000" w:firstRow="0" w:lastRow="0" w:firstColumn="0" w:lastColumn="0" w:noHBand="0" w:noVBand="0"/>
      </w:tblPr>
      <w:tblGrid>
        <w:gridCol w:w="1558"/>
        <w:gridCol w:w="2410"/>
        <w:gridCol w:w="2269"/>
        <w:gridCol w:w="2412"/>
      </w:tblGrid>
      <w:tr w:rsidR="005E6514" w14:paraId="5850E2EA" w14:textId="77777777">
        <w:trPr>
          <w:trHeight w:val="274"/>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14:paraId="6BF2F8E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Wysokość nasypu</w:t>
            </w:r>
            <w:r>
              <w:rPr>
                <w:rFonts w:ascii="Arial Narrow" w:eastAsia="Arial Narrow" w:hAnsi="Arial Narrow" w:cs="Arial Narrow"/>
                <w:b/>
                <w:color w:val="000000"/>
              </w:rPr>
              <w:t xml:space="preserve"> </w:t>
            </w:r>
          </w:p>
        </w:tc>
        <w:tc>
          <w:tcPr>
            <w:tcW w:w="4679" w:type="dxa"/>
            <w:gridSpan w:val="2"/>
            <w:tcBorders>
              <w:top w:val="single" w:sz="4" w:space="0" w:color="000000"/>
              <w:left w:val="single" w:sz="4" w:space="0" w:color="000000"/>
              <w:bottom w:val="single" w:sz="4" w:space="0" w:color="000000"/>
              <w:right w:val="nil"/>
            </w:tcBorders>
          </w:tcPr>
          <w:p w14:paraId="6343D92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Wskaźnik zagęszczenia I</w:t>
            </w:r>
            <w:r>
              <w:rPr>
                <w:rFonts w:ascii="Arial Narrow" w:eastAsia="Arial Narrow" w:hAnsi="Arial Narrow" w:cs="Arial Narrow"/>
                <w:color w:val="000000"/>
                <w:vertAlign w:val="subscript"/>
              </w:rPr>
              <w:t>S</w:t>
            </w:r>
          </w:p>
        </w:tc>
        <w:tc>
          <w:tcPr>
            <w:tcW w:w="2412" w:type="dxa"/>
            <w:tcBorders>
              <w:top w:val="single" w:sz="4" w:space="0" w:color="000000"/>
              <w:left w:val="nil"/>
              <w:bottom w:val="single" w:sz="4" w:space="0" w:color="000000"/>
              <w:right w:val="single" w:sz="4" w:space="0" w:color="000000"/>
            </w:tcBorders>
          </w:tcPr>
          <w:p w14:paraId="3CEFD87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 </w:t>
            </w:r>
          </w:p>
        </w:tc>
      </w:tr>
      <w:tr w:rsidR="005E6514" w14:paraId="7DD98C76" w14:textId="77777777">
        <w:trPr>
          <w:trHeight w:val="262"/>
        </w:trPr>
        <w:tc>
          <w:tcPr>
            <w:tcW w:w="1558" w:type="dxa"/>
            <w:vMerge/>
            <w:tcBorders>
              <w:top w:val="single" w:sz="4" w:space="0" w:color="000000"/>
              <w:left w:val="single" w:sz="4" w:space="0" w:color="000000"/>
              <w:bottom w:val="single" w:sz="4" w:space="0" w:color="000000"/>
              <w:right w:val="single" w:sz="4" w:space="0" w:color="000000"/>
            </w:tcBorders>
            <w:vAlign w:val="center"/>
          </w:tcPr>
          <w:p w14:paraId="321E0AF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4679" w:type="dxa"/>
            <w:gridSpan w:val="2"/>
            <w:tcBorders>
              <w:top w:val="single" w:sz="4" w:space="0" w:color="000000"/>
              <w:left w:val="single" w:sz="4" w:space="0" w:color="000000"/>
              <w:bottom w:val="single" w:sz="4" w:space="0" w:color="000000"/>
              <w:right w:val="nil"/>
            </w:tcBorders>
          </w:tcPr>
          <w:p w14:paraId="45987FE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c>
          <w:tcPr>
            <w:tcW w:w="2412" w:type="dxa"/>
            <w:tcBorders>
              <w:top w:val="single" w:sz="4" w:space="0" w:color="000000"/>
              <w:left w:val="nil"/>
              <w:bottom w:val="single" w:sz="4" w:space="0" w:color="000000"/>
              <w:right w:val="single" w:sz="4" w:space="0" w:color="000000"/>
            </w:tcBorders>
          </w:tcPr>
          <w:p w14:paraId="066F7B4A" w14:textId="77777777" w:rsidR="005E6514" w:rsidRDefault="005E6514">
            <w:pPr>
              <w:pBdr>
                <w:top w:val="nil"/>
                <w:left w:val="nil"/>
                <w:bottom w:val="nil"/>
                <w:right w:val="nil"/>
                <w:between w:val="nil"/>
              </w:pBdr>
              <w:rPr>
                <w:rFonts w:ascii="Arial Narrow" w:eastAsia="Arial Narrow" w:hAnsi="Arial Narrow" w:cs="Arial Narrow"/>
                <w:color w:val="000000"/>
              </w:rPr>
            </w:pPr>
          </w:p>
        </w:tc>
      </w:tr>
      <w:tr w:rsidR="005E6514" w14:paraId="25C2E0FD" w14:textId="77777777">
        <w:trPr>
          <w:trHeight w:val="743"/>
        </w:trPr>
        <w:tc>
          <w:tcPr>
            <w:tcW w:w="1558" w:type="dxa"/>
            <w:vMerge/>
            <w:tcBorders>
              <w:top w:val="single" w:sz="4" w:space="0" w:color="000000"/>
              <w:left w:val="single" w:sz="4" w:space="0" w:color="000000"/>
              <w:bottom w:val="single" w:sz="4" w:space="0" w:color="000000"/>
              <w:right w:val="single" w:sz="4" w:space="0" w:color="000000"/>
            </w:tcBorders>
            <w:vAlign w:val="center"/>
          </w:tcPr>
          <w:p w14:paraId="1DEE8F1E"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63F53C4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2173DF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60B157C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2412" w:type="dxa"/>
            <w:tcBorders>
              <w:top w:val="single" w:sz="4" w:space="0" w:color="000000"/>
              <w:left w:val="single" w:sz="4" w:space="0" w:color="000000"/>
              <w:bottom w:val="single" w:sz="4" w:space="0" w:color="000000"/>
              <w:right w:val="single" w:sz="4" w:space="0" w:color="000000"/>
            </w:tcBorders>
            <w:vAlign w:val="center"/>
          </w:tcPr>
          <w:p w14:paraId="0E81D4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ADCFE19" w14:textId="77777777">
        <w:trPr>
          <w:trHeight w:val="272"/>
        </w:trPr>
        <w:tc>
          <w:tcPr>
            <w:tcW w:w="1558" w:type="dxa"/>
            <w:tcBorders>
              <w:top w:val="single" w:sz="4" w:space="0" w:color="000000"/>
              <w:left w:val="single" w:sz="4" w:space="0" w:color="000000"/>
              <w:bottom w:val="single" w:sz="4" w:space="0" w:color="000000"/>
              <w:right w:val="single" w:sz="4" w:space="0" w:color="000000"/>
            </w:tcBorders>
          </w:tcPr>
          <w:p w14:paraId="403E084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2 metrów </w:t>
            </w:r>
          </w:p>
        </w:tc>
        <w:tc>
          <w:tcPr>
            <w:tcW w:w="2410" w:type="dxa"/>
            <w:tcBorders>
              <w:top w:val="single" w:sz="4" w:space="0" w:color="000000"/>
              <w:left w:val="single" w:sz="4" w:space="0" w:color="000000"/>
              <w:bottom w:val="single" w:sz="4" w:space="0" w:color="000000"/>
              <w:right w:val="single" w:sz="4" w:space="0" w:color="000000"/>
            </w:tcBorders>
          </w:tcPr>
          <w:p w14:paraId="26CF5DE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7C5190B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602AF3EF"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6B41A998" w14:textId="77777777">
        <w:trPr>
          <w:trHeight w:val="274"/>
        </w:trPr>
        <w:tc>
          <w:tcPr>
            <w:tcW w:w="1558" w:type="dxa"/>
            <w:tcBorders>
              <w:top w:val="single" w:sz="4" w:space="0" w:color="000000"/>
              <w:left w:val="single" w:sz="4" w:space="0" w:color="000000"/>
              <w:bottom w:val="single" w:sz="4" w:space="0" w:color="000000"/>
              <w:right w:val="single" w:sz="4" w:space="0" w:color="000000"/>
            </w:tcBorders>
          </w:tcPr>
          <w:p w14:paraId="3B0D02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ponad 2 metry </w:t>
            </w:r>
          </w:p>
        </w:tc>
        <w:tc>
          <w:tcPr>
            <w:tcW w:w="2410" w:type="dxa"/>
            <w:tcBorders>
              <w:top w:val="single" w:sz="4" w:space="0" w:color="000000"/>
              <w:left w:val="single" w:sz="4" w:space="0" w:color="000000"/>
              <w:bottom w:val="single" w:sz="4" w:space="0" w:color="000000"/>
              <w:right w:val="single" w:sz="4" w:space="0" w:color="000000"/>
            </w:tcBorders>
          </w:tcPr>
          <w:p w14:paraId="7D37773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2269" w:type="dxa"/>
            <w:tcBorders>
              <w:top w:val="single" w:sz="4" w:space="0" w:color="000000"/>
              <w:left w:val="single" w:sz="4" w:space="0" w:color="000000"/>
              <w:bottom w:val="single" w:sz="4" w:space="0" w:color="000000"/>
              <w:right w:val="single" w:sz="4" w:space="0" w:color="000000"/>
            </w:tcBorders>
          </w:tcPr>
          <w:p w14:paraId="53E4C594"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2412" w:type="dxa"/>
            <w:tcBorders>
              <w:top w:val="single" w:sz="4" w:space="0" w:color="000000"/>
              <w:left w:val="single" w:sz="4" w:space="0" w:color="000000"/>
              <w:bottom w:val="single" w:sz="4" w:space="0" w:color="000000"/>
              <w:right w:val="single" w:sz="4" w:space="0" w:color="000000"/>
            </w:tcBorders>
          </w:tcPr>
          <w:p w14:paraId="0A7CA7E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51142F4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E66381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5.3.4. Dopuszcza się ocenę stanu zagęszczenia gruntu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 </w:t>
      </w:r>
    </w:p>
    <w:p w14:paraId="0281C16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5.3.5. Należy skontrolować nośność podłoża, na którym ma być posadowiony nasyp, poprzez określenie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powierzchni.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pod nasypem wynosi 30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xml:space="preserve">, niezależnie od kategorii ruchu KR. Wartość wtórnego modułu odkształcenia E2 należy określić według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Dopuszcza się ocenę nośności podłoża na którym ma być posadowiony nasyp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w:t>
      </w:r>
    </w:p>
    <w:p w14:paraId="46E4CB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5.3.6. Jeżeli wartość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określona w Tablicy 5.1 oraz/lub wartość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zaproponuje Wykonawca i przedstawi do akceptacji Inżyniera/Inspektora nadzoru. </w:t>
      </w:r>
    </w:p>
    <w:p w14:paraId="52584F1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5.3.7.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20DF41C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5.3.8. 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Narrow" w:eastAsia="Arial Narrow" w:hAnsi="Arial Narrow" w:cs="Arial Narrow"/>
          <w:color w:val="000000"/>
        </w:rPr>
        <w:t>osiadań</w:t>
      </w:r>
      <w:proofErr w:type="spellEnd"/>
      <w:r>
        <w:rPr>
          <w:rFonts w:ascii="Arial Narrow" w:eastAsia="Arial Narrow" w:hAnsi="Arial Narrow" w:cs="Arial Narrow"/>
          <w:color w:val="000000"/>
        </w:rPr>
        <w:t xml:space="preserve"> korpusu ziemnego zawartych w Projekcie Geotechnicznym, o ile występuje, lub w Dokumentacji Projektowej. </w:t>
      </w:r>
    </w:p>
    <w:p w14:paraId="2FEC5F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4" w:name="_35nkun2" w:colFirst="0" w:colLast="0"/>
      <w:bookmarkEnd w:id="14"/>
      <w:r>
        <w:rPr>
          <w:rFonts w:ascii="Arial Narrow" w:eastAsia="Arial Narrow" w:hAnsi="Arial Narrow" w:cs="Arial Narrow"/>
          <w:color w:val="000000"/>
        </w:rPr>
        <w:t xml:space="preserve">5.3.9. Przygotowanie podłoża w obrębie podstawy nasypu musi zapewniać spełnienie wymagań w zakresie odwodnienia,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5.7.1. i 5.7.2. </w:t>
      </w:r>
    </w:p>
    <w:p w14:paraId="1A268DE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5.4 Wybór gruntów i innych materiałów do wykonania nasypów </w:t>
      </w:r>
    </w:p>
    <w:p w14:paraId="541FC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5.4.1. Wybór gruntów i innych materiałów przeznaczonych do wykonania nasypów powinien być dokonany z uwzględnieniem zasad podanych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2 i 5. </w:t>
      </w:r>
    </w:p>
    <w:p w14:paraId="62DBAB8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5.4.2. Dopuszcza się wznoszenie nasypów wyłącznie z gruntów i innych materiałów przydatnych do tego celu. Grunty i inne materiały mogą uzyskać przydatność w wyniku ulepszenia. </w:t>
      </w:r>
    </w:p>
    <w:p w14:paraId="2051461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5.4.3. Wybór gruntu lub innego materiału do budowy nasypu ma zasadniczy wpływ na wybór  metody układania i zagęszczania warstwy oraz użytego sprzętu. </w:t>
      </w:r>
    </w:p>
    <w:p w14:paraId="68FBDD7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5" w:name="_1ksv4uv" w:colFirst="0" w:colLast="0"/>
      <w:bookmarkEnd w:id="15"/>
      <w:r>
        <w:rPr>
          <w:rFonts w:ascii="Arial Narrow" w:eastAsia="Arial Narrow" w:hAnsi="Arial Narrow" w:cs="Arial Narrow"/>
          <w:color w:val="000000"/>
        </w:rPr>
        <w:t xml:space="preserve">5.4.4. 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 </w:t>
      </w:r>
    </w:p>
    <w:p w14:paraId="216B0B2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5.5 Ogólne zasady wykonywania nasypów </w:t>
      </w:r>
    </w:p>
    <w:p w14:paraId="229775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 Nasypy powinny być wznoszone przy zachowaniu przekroju poprzecznego i profilu  podłużnego, które określono w Dokumentacji Projektowej, z uwzględnieniem ewentualnych zmian wprowadzonych na piśmie, przez Inżyniera/Inspektora nadzoru. </w:t>
      </w:r>
    </w:p>
    <w:p w14:paraId="2775B2B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5.5.2. 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 </w:t>
      </w:r>
    </w:p>
    <w:p w14:paraId="695682C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5.5.3. 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 </w:t>
      </w:r>
    </w:p>
    <w:p w14:paraId="36E4EEA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5.5.4. 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 </w:t>
      </w:r>
    </w:p>
    <w:p w14:paraId="07A36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5.5.5. Warstwy gruntu o dobrej przepuszczalności należy wbudowywać poziomo, a warstwy gruntu mało przepuszczalnego (o współczynniku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ze spadkiem górnej  powierzchni około 4% </w:t>
      </w:r>
      <w:r>
        <w:rPr>
          <w:rFonts w:ascii="Arial Narrow" w:eastAsia="Arial Narrow" w:hAnsi="Arial Narrow" w:cs="Arial Narrow"/>
          <w:color w:val="000000"/>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 </w:t>
      </w:r>
    </w:p>
    <w:p w14:paraId="23F9799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5.5.6.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14:paraId="34BB360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5.5.7. Górną warstwę nasypu, o grubości minimum 20 cm, zaleca się wykonać z gruntów  </w:t>
      </w:r>
      <w:proofErr w:type="spellStart"/>
      <w:r>
        <w:rPr>
          <w:rFonts w:ascii="Arial Narrow" w:eastAsia="Arial Narrow" w:hAnsi="Arial Narrow" w:cs="Arial Narrow"/>
          <w:color w:val="000000"/>
        </w:rPr>
        <w:t>niewysadzinowych</w:t>
      </w:r>
      <w:proofErr w:type="spellEnd"/>
      <w:r>
        <w:rPr>
          <w:rFonts w:ascii="Arial Narrow" w:eastAsia="Arial Narrow" w:hAnsi="Arial Narrow" w:cs="Arial Narrow"/>
          <w:color w:val="000000"/>
        </w:rPr>
        <w:t xml:space="preserve">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i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z uwzględnieniem zapisów punktu 2.2.8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Grunty </w:t>
      </w:r>
      <w:proofErr w:type="spellStart"/>
      <w:r>
        <w:rPr>
          <w:rFonts w:ascii="Arial Narrow" w:eastAsia="Arial Narrow" w:hAnsi="Arial Narrow" w:cs="Arial Narrow"/>
          <w:color w:val="000000"/>
        </w:rPr>
        <w:t>niewysadzinowe</w:t>
      </w:r>
      <w:proofErr w:type="spellEnd"/>
      <w:r>
        <w:rPr>
          <w:rFonts w:ascii="Arial Narrow" w:eastAsia="Arial Narrow" w:hAnsi="Arial Narrow" w:cs="Arial Narrow"/>
          <w:color w:val="000000"/>
        </w:rPr>
        <w:t xml:space="preserve"> o mniejszym wskaźniku jednorodności uziarnienia (3,0 ≤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 5,0) można stosować do wykonania górnej warstwy nasypu, jeżeli próby na odcinku próbnym wykażą możliwość uzyskania wymaganego zagęszczenia i nośności. Jeżeli brak gruntu </w:t>
      </w:r>
      <w:proofErr w:type="spellStart"/>
      <w:r>
        <w:rPr>
          <w:rFonts w:ascii="Arial Narrow" w:eastAsia="Arial Narrow" w:hAnsi="Arial Narrow" w:cs="Arial Narrow"/>
          <w:color w:val="000000"/>
        </w:rPr>
        <w:t>niewysadzinowego</w:t>
      </w:r>
      <w:proofErr w:type="spellEnd"/>
      <w:r>
        <w:rPr>
          <w:rFonts w:ascii="Arial Narrow" w:eastAsia="Arial Narrow" w:hAnsi="Arial Narrow" w:cs="Arial Narrow"/>
          <w:color w:val="000000"/>
        </w:rPr>
        <w:t xml:space="preserve">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0D149B0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przypadku zaprojektowania warstwy ulepszonego podłoża jest ona włączona do górnej warstwy nasypu. </w:t>
      </w:r>
    </w:p>
    <w:p w14:paraId="6A8B8E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5.5.8. 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 </w:t>
      </w:r>
    </w:p>
    <w:p w14:paraId="06DBC2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5.5.9. Na terenach o wysokim stanie wód gruntowych oraz na terenach zalewowych dolne warstwy nasypu, o grubości co najmniej 0,5 m powyżej najwyższego poziomu wody, należy wykonać z gruntu przepuszczalnego o współczynniku filtracji k</w:t>
      </w:r>
      <w:r>
        <w:rPr>
          <w:rFonts w:ascii="Arial Narrow" w:eastAsia="Arial Narrow" w:hAnsi="Arial Narrow" w:cs="Arial Narrow"/>
          <w:color w:val="000000"/>
          <w:vertAlign w:val="subscript"/>
        </w:rPr>
        <w:t>10</w:t>
      </w:r>
      <w:r>
        <w:rPr>
          <w:rFonts w:ascii="Arial Unicode MS" w:eastAsia="Arial Unicode MS" w:hAnsi="Arial Unicode MS" w:cs="Arial Unicode MS"/>
          <w:color w:val="000000"/>
        </w:rPr>
        <w:t xml:space="preserve"> ≥ 6 </w:t>
      </w:r>
      <w:r>
        <w:rPr>
          <w:rFonts w:ascii="Arial Narrow" w:eastAsia="Arial Narrow" w:hAnsi="Arial Narrow" w:cs="Arial Narrow"/>
          <w:color w:val="000000"/>
          <w:vertAlign w:val="superscript"/>
        </w:rPr>
        <w:t></w:t>
      </w:r>
      <w:r>
        <w:rPr>
          <w:rFonts w:ascii="Arial Narrow" w:eastAsia="Arial Narrow" w:hAnsi="Arial Narrow" w:cs="Arial Narrow"/>
          <w:color w:val="000000"/>
        </w:rPr>
        <w:t>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(wyznaczonym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37CCFEC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5.5.10. Grunt przewieziony w miejsce wbudowania powinien być bezzwłocznie wbudowany  w nasyp. Inżynier/ Inspektor nadzoru może dopuścić czasowe składowanie gruntu,  pod warunkiem jego zabezpieczenia przed nadmiernym zawilgoceniem. </w:t>
      </w:r>
    </w:p>
    <w:p w14:paraId="4E55E22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5.5.11. W przypadku konieczności wykonania stopni, w sytuacjach określonych w p. 5.3.2.  </w:t>
      </w:r>
    </w:p>
    <w:p w14:paraId="4FD169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oraz w punktach 5.10.1. i 5.10.2. należy zapewnić zagęszczenie materiału nasypowego  w sposób eliminujący możliwość powstania pustek lub stref niedogęszczonych w sąsiedztwie pionowych powierzchni stopni. </w:t>
      </w:r>
    </w:p>
    <w:p w14:paraId="2FC8447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5.5.12. Nie należy wbudowywać w nasyp gruntów kamienistych, gruzu betonowego i innych  podobnych, twardych materiałów w tych miejscach, gdzie przewiduje się formowanie  lub wbicie pali albo budowę konstrukcji i urządzeń.  </w:t>
      </w:r>
    </w:p>
    <w:p w14:paraId="30F7463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5.5.13. 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194DCD0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5.5.14.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 </w:t>
      </w:r>
    </w:p>
    <w:p w14:paraId="58BE601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5.5.15. 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 </w:t>
      </w:r>
    </w:p>
    <w:p w14:paraId="1A799CE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6" w:name="_44sinio" w:colFirst="0" w:colLast="0"/>
      <w:bookmarkEnd w:id="16"/>
      <w:r>
        <w:rPr>
          <w:rFonts w:ascii="Arial Narrow" w:eastAsia="Arial Narrow" w:hAnsi="Arial Narrow" w:cs="Arial Narrow"/>
          <w:color w:val="000000"/>
        </w:rPr>
        <w:t xml:space="preserve">5.5.16. Przy wykonywaniu nasypu lub jego części z mieszanek popiołowych należy uwzględnić wyniki analizy stateczności oraz ocenę możliwości potencjalnego zanieczyszczenia  powierzchni ziemi szkodliwymi substancjami. </w:t>
      </w:r>
    </w:p>
    <w:p w14:paraId="46848954"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5.6 Wykonywanie nasypów w okresie deszczów </w:t>
      </w:r>
    </w:p>
    <w:p w14:paraId="659545B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5.6.1. 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 </w:t>
      </w:r>
    </w:p>
    <w:p w14:paraId="2A9F598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5.6.2. 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 </w:t>
      </w:r>
    </w:p>
    <w:p w14:paraId="3E3ACC7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5.6.3. W celu zabezpieczenia nasypu przed nadmiernym zawilgoceniem, poszczególne jego  warstwy oraz korona nasypu po zakończeniu robót ziemnych powinny być równe i mieć spadki potrzebne do prawidłowego odwodnienia, według punktu 5.5.5. </w:t>
      </w:r>
    </w:p>
    <w:p w14:paraId="70C3AA9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7" w:name="_2jxsxqh" w:colFirst="0" w:colLast="0"/>
      <w:bookmarkEnd w:id="17"/>
      <w:r>
        <w:rPr>
          <w:rFonts w:ascii="Arial Narrow" w:eastAsia="Arial Narrow" w:hAnsi="Arial Narrow" w:cs="Arial Narrow"/>
          <w:color w:val="000000"/>
        </w:rPr>
        <w:t xml:space="preserve">5.6.4. 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 </w:t>
      </w:r>
    </w:p>
    <w:p w14:paraId="1D73E16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5.7 Wykonywanie nasypów w okresie zimowym </w:t>
      </w:r>
    </w:p>
    <w:p w14:paraId="019C27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5.7.1. Wykonywanie nasypów w temperaturze ujemnej, przy której nie jest możliwe osiągnięcie w nasypie wymaganego wskaźnika zagęszczenia gruntów, skał lub materiałów użytych do jego budowy, jest niedopuszczalne. </w:t>
      </w:r>
    </w:p>
    <w:p w14:paraId="5EB4AFA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5.7.2. Nie dopuszcza się wbudowania w nasyp gruntów, skał lub materiałów zamarzniętych lub przemieszanych ze śniegiem lub lodem. W czasie dużych opadów śniegu wykonywanie nasypów należy przerwać. Przed wznowieniem prac należy usunąć śnieg z powierzchni wznoszonego nasypu. </w:t>
      </w:r>
    </w:p>
    <w:p w14:paraId="54C44E0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5.7.3. Jeżeli warstwa niezagęszczonego gruntu, skały lub materiału zamarzła, to nie należy  jej przed rozmarznięciem zagęszczać ani układać na niej następnych warstw. </w:t>
      </w:r>
    </w:p>
    <w:p w14:paraId="09F1264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8" w:name="_z337ya" w:colFirst="0" w:colLast="0"/>
      <w:bookmarkEnd w:id="18"/>
      <w:r>
        <w:rPr>
          <w:rFonts w:ascii="Arial Narrow" w:eastAsia="Arial Narrow" w:hAnsi="Arial Narrow" w:cs="Arial Narrow"/>
          <w:color w:val="000000"/>
        </w:rPr>
        <w:t xml:space="preserve">5.7.4. Nasyp nie może być wznoszony na zamarzniętym podłożu, za wyjątkiem sytuacji gdy  Inżynier/Inspektor nadzoru wyrazi na to zgodę. </w:t>
      </w:r>
    </w:p>
    <w:p w14:paraId="03552D5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5.8 Wykonywanie nasypów na dojazdach do obiektów mostowych </w:t>
      </w:r>
    </w:p>
    <w:p w14:paraId="75B8E5A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5.8.1. Do wykonania nasypów na dojazdach do obiektów mostowych, należy stosować grunty  niespoiste o wskaźniku jednorodności uziarnienia C</w:t>
      </w:r>
      <w:r>
        <w:rPr>
          <w:rFonts w:ascii="Arial Narrow" w:eastAsia="Arial Narrow" w:hAnsi="Arial Narrow" w:cs="Arial Narrow"/>
          <w:color w:val="000000"/>
          <w:vertAlign w:val="subscript"/>
        </w:rPr>
        <w:t>U</w:t>
      </w:r>
      <w:r>
        <w:rPr>
          <w:rFonts w:ascii="Arial Narrow" w:eastAsia="Arial Narrow" w:hAnsi="Arial Narrow" w:cs="Arial Narrow"/>
          <w:color w:val="000000"/>
        </w:rPr>
        <w:t xml:space="preserve"> </w:t>
      </w:r>
      <w:r>
        <w:rPr>
          <w:rFonts w:ascii="Arial Narrow" w:eastAsia="Arial Narrow" w:hAnsi="Arial Narrow" w:cs="Arial Narrow"/>
          <w:color w:val="000000"/>
        </w:rPr>
        <w:t> 5,0 i współczynniku filtracji k</w:t>
      </w:r>
      <w:r>
        <w:rPr>
          <w:rFonts w:ascii="Arial Narrow" w:eastAsia="Arial Narrow" w:hAnsi="Arial Narrow" w:cs="Arial Narrow"/>
          <w:color w:val="000000"/>
          <w:vertAlign w:val="subscript"/>
        </w:rPr>
        <w:t>10</w:t>
      </w:r>
      <w:r>
        <w:rPr>
          <w:rFonts w:ascii="Arial Narrow" w:eastAsia="Arial Narrow" w:hAnsi="Arial Narrow" w:cs="Arial Narrow"/>
          <w:color w:val="000000"/>
        </w:rPr>
        <w:t xml:space="preserve"> </w:t>
      </w:r>
      <w:r>
        <w:rPr>
          <w:rFonts w:ascii="Arial Narrow" w:eastAsia="Arial Narrow" w:hAnsi="Arial Narrow" w:cs="Arial Narrow"/>
          <w:color w:val="000000"/>
        </w:rPr>
        <w:t> 6x10</w:t>
      </w:r>
      <w:r>
        <w:rPr>
          <w:rFonts w:ascii="Arial Narrow" w:eastAsia="Arial Narrow" w:hAnsi="Arial Narrow" w:cs="Arial Narrow"/>
          <w:color w:val="000000"/>
          <w:vertAlign w:val="superscript"/>
        </w:rPr>
        <w:t>-5</w:t>
      </w:r>
      <w:r>
        <w:rPr>
          <w:rFonts w:ascii="Arial Narrow" w:eastAsia="Arial Narrow" w:hAnsi="Arial Narrow" w:cs="Arial Narrow"/>
          <w:color w:val="000000"/>
        </w:rPr>
        <w:t xml:space="preserve"> m/s. </w:t>
      </w:r>
    </w:p>
    <w:p w14:paraId="515008D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5.8.2. 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 </w:t>
      </w:r>
    </w:p>
    <w:p w14:paraId="067046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5.8.3. W części nasypu przylegającej do ściany </w:t>
      </w:r>
      <w:proofErr w:type="spellStart"/>
      <w:r>
        <w:rPr>
          <w:rFonts w:ascii="Arial Narrow" w:eastAsia="Arial Narrow" w:hAnsi="Arial Narrow" w:cs="Arial Narrow"/>
          <w:color w:val="000000"/>
        </w:rPr>
        <w:t>przyczółka</w:t>
      </w:r>
      <w:proofErr w:type="spellEnd"/>
      <w:r>
        <w:rPr>
          <w:rFonts w:ascii="Arial Narrow" w:eastAsia="Arial Narrow" w:hAnsi="Arial Narrow" w:cs="Arial Narrow"/>
          <w:color w:val="000000"/>
        </w:rPr>
        <w:t xml:space="preserve"> należy wykonać elementy odwodnienia, określone w Dokumentacji Projektowej.  </w:t>
      </w:r>
    </w:p>
    <w:p w14:paraId="1C3D07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5.8.4. Wskaźnik zagęszczenia gruntu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powinien być nie mniejszy niż 1,00 na całej wysokości nasypu w obrębie dojazdu do obiektu mostowego.  </w:t>
      </w:r>
    </w:p>
    <w:p w14:paraId="6C49B6C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5.8.5. W czasie wykonywania nasypu na dojazdach do obiektów mostowych należy spełnić zasady ogólne, sformułowane w punkcie 5.5. </w:t>
      </w:r>
    </w:p>
    <w:p w14:paraId="62F67B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19" w:name="_3j2qqm3" w:colFirst="0" w:colLast="0"/>
      <w:bookmarkEnd w:id="19"/>
      <w:r>
        <w:rPr>
          <w:rFonts w:ascii="Arial Narrow" w:eastAsia="Arial Narrow" w:hAnsi="Arial Narrow" w:cs="Arial Narrow"/>
          <w:color w:val="000000"/>
        </w:rPr>
        <w:t xml:space="preserve">5.8.6. Gdy nasyp na dojeździe do obiektu mostowego jest wykonywany z innego materiału lub w innym czasie niż nasyp drogowy to warstwy nasypu z gruntu niespoistego w obrębie części mostowej układać na wcześniej przygotowanym nasypie drogowym z zachowaniem zasad punktu 5.9.1. </w:t>
      </w:r>
    </w:p>
    <w:p w14:paraId="24E67A2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5.9 Wykonanie nasypów w obrębie przepustów </w:t>
      </w:r>
    </w:p>
    <w:p w14:paraId="38E99AF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5.9.1. Przepusty powinny być wykonane wcześniej niż nasyp. Dopuszcza się wykonanie  przepustów sposobem podanym w punkcie 5.9.3. o ile określono tak w Dokumentacji  Projektowej lub Wykonawca uzyskał zgodę Inżyniera/ Inspektora nadzoru. </w:t>
      </w:r>
    </w:p>
    <w:p w14:paraId="74EBADC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5.9.2. 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 </w:t>
      </w:r>
    </w:p>
    <w:p w14:paraId="1077A622" w14:textId="77777777" w:rsidR="005E6514" w:rsidRDefault="00A66738" w:rsidP="007E1D1E">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5.9.3. 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 </w:t>
      </w:r>
      <w:bookmarkStart w:id="20" w:name="_1y810tw" w:colFirst="0" w:colLast="0"/>
      <w:bookmarkEnd w:id="20"/>
      <w:r>
        <w:rPr>
          <w:rFonts w:ascii="Arial Narrow" w:eastAsia="Arial Narrow" w:hAnsi="Arial Narrow" w:cs="Arial Narrow"/>
          <w:color w:val="000000"/>
        </w:rPr>
        <w:t xml:space="preserve"> </w:t>
      </w:r>
    </w:p>
    <w:p w14:paraId="592D2836"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5.10 Wykonanie poszerzenia nasypu </w:t>
      </w:r>
    </w:p>
    <w:p w14:paraId="346C92D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5.10.1. 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 </w:t>
      </w:r>
    </w:p>
    <w:p w14:paraId="444AC35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1" w:name="_4i7ojhp" w:colFirst="0" w:colLast="0"/>
      <w:bookmarkEnd w:id="21"/>
      <w:r>
        <w:rPr>
          <w:rFonts w:ascii="Arial Narrow" w:eastAsia="Arial Narrow" w:hAnsi="Arial Narrow" w:cs="Arial Narrow"/>
          <w:color w:val="000000"/>
        </w:rPr>
        <w:t xml:space="preserve">5.10.2. Wycięcie stopni obowiązuje zawsze przy wykonywaniu styku dwóch przyległych części  nasypu, wykonanych z gruntów, skał lub materiałów o różnych właściwościach  lub w różnym czasie.  </w:t>
      </w:r>
    </w:p>
    <w:p w14:paraId="033483A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5.11 Wykonywanie nasypu na zboczu </w:t>
      </w:r>
    </w:p>
    <w:p w14:paraId="10AC37A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Sposób budowy nasypu na zboczu powinien być jednoznacznie określony w Projekcie  Geotechnicznym, o ile występuje, lub w Dokumentacji Projektowej .  </w:t>
      </w:r>
    </w:p>
    <w:p w14:paraId="39DEBC4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5.11.2. W przypadku budowy nasypu na zboczu o pochyleniu poprzecznym od 1:5 do 1:2 minimalne  zabezpieczenie nasypu przed zsuwaniem się obejmuje: </w:t>
      </w:r>
    </w:p>
    <w:p w14:paraId="30EB029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wycięcie w zboczu stopni w obrębie podstawy nasypu, wg punktu 5.3.2. </w:t>
      </w:r>
    </w:p>
    <w:p w14:paraId="42CFE15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rowu stokowego powyżej nasypu. </w:t>
      </w:r>
    </w:p>
    <w:p w14:paraId="3C0438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2" w:name="_2xcytpi" w:colFirst="0" w:colLast="0"/>
      <w:bookmarkEnd w:id="22"/>
      <w:r>
        <w:rPr>
          <w:rFonts w:ascii="Arial Narrow" w:eastAsia="Arial Narrow" w:hAnsi="Arial Narrow" w:cs="Arial Narrow"/>
          <w:color w:val="000000"/>
        </w:rPr>
        <w:t xml:space="preserve">5.11.3. 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 </w:t>
      </w:r>
    </w:p>
    <w:p w14:paraId="08F35A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5.12 Wykonywanie nasypu z gruntów skalistych lub materiałów gruboziarnistych  </w:t>
      </w:r>
    </w:p>
    <w:p w14:paraId="7AEC263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5.12.1. Wykonywanie nasypu z gruntów, skał lub materiałów gruboziarnistych powinno odbywać się według jednej z metod, podanych w punktach 5.12.3. i 5.12.4, jeśli inny sposób wykonania robót nie został określony w Dokumentacji Projektowej,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lub przez Inżyniera/ Inspektora nadzoru.  </w:t>
      </w:r>
    </w:p>
    <w:p w14:paraId="5084442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5.12.2. Jeżeli nasyp gruntów, skał lub materiałów gruboziarnistych ma być wykonany powyżej  </w:t>
      </w:r>
    </w:p>
    <w:p w14:paraId="7D389E4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konstrukcji, na przykład przepustu, należy wcześniej ułożyć na niej i zagęścić warstwę gruntu, skały lub materiału antropogenicznego drobnoziarnistego lub średnioziarnistego, o łącznej grubości od 0,5 do 1,0 metra. </w:t>
      </w:r>
    </w:p>
    <w:p w14:paraId="001E115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5.12.3. Wykonywanie nasypu z gruntów, skał lub materiałów gruboziarnistych z wypełnieniem  wolnych przestrzeni polega na układaniu warstw materiałów gruboziarnistych, 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  </w:t>
      </w:r>
    </w:p>
    <w:p w14:paraId="1C8D26E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5.12.4. 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w:t>
      </w:r>
    </w:p>
    <w:p w14:paraId="6E1956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leżącej części nasypu z zastosowaniem warstwy materiału ziarnistego lub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zgodnie z zasadami określonymi w punktach 5.12.5 i 5.12.6. </w:t>
      </w:r>
    </w:p>
    <w:p w14:paraId="5D18C07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5.12.5. 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199CB68E" w14:textId="77777777" w:rsidR="005E6514" w:rsidRDefault="00A66738">
      <w:pPr>
        <w:pBdr>
          <w:top w:val="nil"/>
          <w:left w:val="nil"/>
          <w:bottom w:val="nil"/>
          <w:right w:val="nil"/>
          <w:between w:val="nil"/>
        </w:pBdr>
        <w:tabs>
          <w:tab w:val="center" w:pos="4284"/>
          <w:tab w:val="center" w:pos="5233"/>
          <w:tab w:val="center" w:pos="5723"/>
        </w:tabs>
        <w:spacing w:after="3" w:line="259" w:lineRule="auto"/>
        <w:ind w:firstLine="709"/>
        <w:rPr>
          <w:rFonts w:ascii="Arial Narrow" w:eastAsia="Arial Narrow" w:hAnsi="Arial Narrow" w:cs="Arial Narrow"/>
          <w:color w:val="000000"/>
        </w:rPr>
      </w:pPr>
      <w:r>
        <w:rPr>
          <w:rFonts w:ascii="Arial Narrow" w:eastAsia="Arial Narrow" w:hAnsi="Arial Narrow" w:cs="Arial Narrow"/>
          <w:color w:val="000000"/>
        </w:rPr>
        <w:t>4 d</w:t>
      </w:r>
      <w:r>
        <w:rPr>
          <w:rFonts w:ascii="Arial Narrow" w:eastAsia="Arial Narrow" w:hAnsi="Arial Narrow" w:cs="Arial Narrow"/>
          <w:color w:val="000000"/>
          <w:vertAlign w:val="subscript"/>
        </w:rPr>
        <w:t>85</w:t>
      </w:r>
      <w:r>
        <w:rPr>
          <w:rFonts w:ascii="Arial Unicode MS" w:eastAsia="Arial Unicode MS" w:hAnsi="Arial Unicode MS" w:cs="Arial Unicode MS"/>
          <w:color w:val="000000"/>
        </w:rPr>
        <w:t xml:space="preserve"> ≥ D</w:t>
      </w:r>
      <w:r>
        <w:rPr>
          <w:rFonts w:ascii="Arial Narrow" w:eastAsia="Arial Narrow" w:hAnsi="Arial Narrow" w:cs="Arial Narrow"/>
          <w:color w:val="000000"/>
          <w:vertAlign w:val="subscript"/>
        </w:rPr>
        <w:t>15</w:t>
      </w:r>
      <w:r>
        <w:rPr>
          <w:rFonts w:ascii="Arial Unicode MS" w:eastAsia="Arial Unicode MS" w:hAnsi="Arial Unicode MS" w:cs="Arial Unicode MS"/>
          <w:color w:val="000000"/>
        </w:rPr>
        <w:t xml:space="preserve"> ≥ 4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w:t>
      </w:r>
    </w:p>
    <w:p w14:paraId="2C141B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gdzie:  </w:t>
      </w:r>
    </w:p>
    <w:p w14:paraId="1A7CA7B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85</w:t>
      </w:r>
      <w:r>
        <w:rPr>
          <w:rFonts w:ascii="Arial Narrow" w:eastAsia="Arial Narrow" w:hAnsi="Arial Narrow" w:cs="Arial Narrow"/>
          <w:color w:val="000000"/>
        </w:rPr>
        <w:t xml:space="preserve"> i 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-średnica oczek sita, przez które przechodzi 85% i 15% gruntu przylegającego do strefy nasypu wykonanej bez wypełnienia wolnych przestrzeni (mm),  </w:t>
      </w:r>
    </w:p>
    <w:p w14:paraId="3B3A586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w:t>
      </w:r>
      <w:r>
        <w:rPr>
          <w:rFonts w:ascii="Arial Narrow" w:eastAsia="Arial Narrow" w:hAnsi="Arial Narrow" w:cs="Arial Narrow"/>
          <w:color w:val="000000"/>
          <w:vertAlign w:val="subscript"/>
        </w:rPr>
        <w:t>15</w:t>
      </w:r>
      <w:r>
        <w:rPr>
          <w:rFonts w:ascii="Arial Narrow" w:eastAsia="Arial Narrow" w:hAnsi="Arial Narrow" w:cs="Arial Narrow"/>
          <w:color w:val="000000"/>
        </w:rPr>
        <w:t xml:space="preserve"> - średnica oczek sita, przez które przechodzi 15% gruntu skalistego lub materiału gruboziarnistego (mm). </w:t>
      </w:r>
    </w:p>
    <w:p w14:paraId="485DD0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3" w:name="_1ci93xb" w:colFirst="0" w:colLast="0"/>
      <w:bookmarkEnd w:id="23"/>
      <w:r>
        <w:rPr>
          <w:rFonts w:ascii="Arial Narrow" w:eastAsia="Arial Narrow" w:hAnsi="Arial Narrow" w:cs="Arial Narrow"/>
          <w:color w:val="000000"/>
        </w:rPr>
        <w:t xml:space="preserve">5.12.6. Strefę nasypu wykonaną z gruntów, skał lub materiałów gruboziarnistych bez wypełnienia wolnych przestrzeni można oddzielić od przylegającego gruntu warstwą </w:t>
      </w:r>
      <w:proofErr w:type="spellStart"/>
      <w:r>
        <w:rPr>
          <w:rFonts w:ascii="Arial Narrow" w:eastAsia="Arial Narrow" w:hAnsi="Arial Narrow" w:cs="Arial Narrow"/>
          <w:color w:val="000000"/>
        </w:rPr>
        <w:t>geotekstyliów</w:t>
      </w:r>
      <w:proofErr w:type="spellEnd"/>
      <w:r>
        <w:rPr>
          <w:rFonts w:ascii="Arial Narrow" w:eastAsia="Arial Narrow" w:hAnsi="Arial Narrow" w:cs="Arial Narrow"/>
          <w:color w:val="000000"/>
        </w:rPr>
        <w:t xml:space="preserve"> o odpowiednich właściwościach mechanicznych, uniemożliwiających jej przebicie oraz o odpowiednich właściwościach filtracyjnych, dostosowanych do uziarnienia  przylegających warstw.  </w:t>
      </w:r>
    </w:p>
    <w:p w14:paraId="5211556A"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5.13 Zasady zagęszczania warstw nasypu  </w:t>
      </w:r>
    </w:p>
    <w:p w14:paraId="7E06945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5.13.1. 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 </w:t>
      </w:r>
    </w:p>
    <w:p w14:paraId="5D7640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5.13.2. Rozłożone warstwy należy zagęszczać od krawędzi nasypu w kierunku jego osi. </w:t>
      </w:r>
    </w:p>
    <w:p w14:paraId="1C962A0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5.13.3. 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t>
      </w:r>
    </w:p>
    <w:p w14:paraId="47D6FDB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5.13.4. W czasie zagęszczania warstwy, wilgotność gruntu lub innego materiału użytego do budowy nasypu powinna być równa wilgotności optymalnej, z tolerancją określoną w Tablicy 5.2. </w:t>
      </w:r>
    </w:p>
    <w:p w14:paraId="1DD172D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 </w:t>
      </w:r>
    </w:p>
    <w:p w14:paraId="0730400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5.2. Tolerancja wilgotności gruntów i materiałów antropogenicznych w czasie zagęszczania warstwy </w:t>
      </w:r>
    </w:p>
    <w:tbl>
      <w:tblPr>
        <w:tblStyle w:val="a0"/>
        <w:tblW w:w="8649" w:type="dxa"/>
        <w:tblInd w:w="852" w:type="dxa"/>
        <w:tblLayout w:type="fixed"/>
        <w:tblLook w:val="0000" w:firstRow="0" w:lastRow="0" w:firstColumn="0" w:lastColumn="0" w:noHBand="0" w:noVBand="0"/>
      </w:tblPr>
      <w:tblGrid>
        <w:gridCol w:w="3099"/>
        <w:gridCol w:w="2838"/>
        <w:gridCol w:w="2712"/>
      </w:tblGrid>
      <w:tr w:rsidR="005E6514" w14:paraId="4A8599F7" w14:textId="77777777">
        <w:trPr>
          <w:trHeight w:val="255"/>
        </w:trPr>
        <w:tc>
          <w:tcPr>
            <w:tcW w:w="3099" w:type="dxa"/>
            <w:vMerge w:val="restart"/>
            <w:tcBorders>
              <w:top w:val="single" w:sz="4" w:space="0" w:color="000000"/>
              <w:left w:val="single" w:sz="4" w:space="0" w:color="000000"/>
              <w:bottom w:val="single" w:sz="4" w:space="0" w:color="000000"/>
              <w:right w:val="single" w:sz="4" w:space="0" w:color="000000"/>
            </w:tcBorders>
            <w:vAlign w:val="center"/>
          </w:tcPr>
          <w:p w14:paraId="6115522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Wilgotność optymalna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r>
              <w:rPr>
                <w:rFonts w:ascii="Arial Narrow" w:eastAsia="Arial Narrow" w:hAnsi="Arial Narrow" w:cs="Arial Narrow"/>
                <w:b/>
                <w:color w:val="000000"/>
              </w:rPr>
              <w:t xml:space="preserve"> </w:t>
            </w:r>
          </w:p>
        </w:tc>
        <w:tc>
          <w:tcPr>
            <w:tcW w:w="5550" w:type="dxa"/>
            <w:gridSpan w:val="2"/>
            <w:tcBorders>
              <w:top w:val="single" w:sz="4" w:space="0" w:color="000000"/>
              <w:left w:val="single" w:sz="4" w:space="0" w:color="000000"/>
              <w:bottom w:val="single" w:sz="4" w:space="0" w:color="000000"/>
              <w:right w:val="single" w:sz="4" w:space="0" w:color="000000"/>
            </w:tcBorders>
          </w:tcPr>
          <w:p w14:paraId="09FD03C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Wilgotność gruntu (materiału) w warstwie poddanej zagęszczaniu </w:t>
            </w:r>
          </w:p>
        </w:tc>
      </w:tr>
      <w:tr w:rsidR="005E6514" w14:paraId="2653D906" w14:textId="77777777">
        <w:trPr>
          <w:trHeight w:val="99"/>
        </w:trPr>
        <w:tc>
          <w:tcPr>
            <w:tcW w:w="3099" w:type="dxa"/>
            <w:vMerge/>
            <w:tcBorders>
              <w:top w:val="single" w:sz="4" w:space="0" w:color="000000"/>
              <w:left w:val="single" w:sz="4" w:space="0" w:color="000000"/>
              <w:bottom w:val="single" w:sz="4" w:space="0" w:color="000000"/>
              <w:right w:val="single" w:sz="4" w:space="0" w:color="000000"/>
            </w:tcBorders>
            <w:vAlign w:val="center"/>
          </w:tcPr>
          <w:p w14:paraId="027081EF"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838" w:type="dxa"/>
            <w:tcBorders>
              <w:top w:val="single" w:sz="4" w:space="0" w:color="000000"/>
              <w:left w:val="single" w:sz="4" w:space="0" w:color="000000"/>
              <w:bottom w:val="single" w:sz="4" w:space="0" w:color="000000"/>
              <w:right w:val="single" w:sz="4" w:space="0" w:color="000000"/>
            </w:tcBorders>
          </w:tcPr>
          <w:p w14:paraId="3135623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Minimalna </w:t>
            </w:r>
          </w:p>
        </w:tc>
        <w:tc>
          <w:tcPr>
            <w:tcW w:w="2712" w:type="dxa"/>
            <w:tcBorders>
              <w:top w:val="single" w:sz="4" w:space="0" w:color="000000"/>
              <w:left w:val="single" w:sz="4" w:space="0" w:color="000000"/>
              <w:bottom w:val="single" w:sz="4" w:space="0" w:color="000000"/>
              <w:right w:val="single" w:sz="4" w:space="0" w:color="000000"/>
            </w:tcBorders>
          </w:tcPr>
          <w:p w14:paraId="6805171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Maksymalna </w:t>
            </w:r>
          </w:p>
        </w:tc>
      </w:tr>
      <w:tr w:rsidR="005E6514" w14:paraId="79FA20A3" w14:textId="77777777">
        <w:trPr>
          <w:trHeight w:val="212"/>
        </w:trPr>
        <w:tc>
          <w:tcPr>
            <w:tcW w:w="3099" w:type="dxa"/>
            <w:tcBorders>
              <w:top w:val="single" w:sz="4" w:space="0" w:color="000000"/>
              <w:left w:val="single" w:sz="4" w:space="0" w:color="000000"/>
              <w:bottom w:val="single" w:sz="4" w:space="0" w:color="000000"/>
              <w:right w:val="single" w:sz="4" w:space="0" w:color="000000"/>
            </w:tcBorders>
            <w:vAlign w:val="center"/>
          </w:tcPr>
          <w:p w14:paraId="79B984D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&lt;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D29CE6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2% </w:t>
            </w:r>
          </w:p>
        </w:tc>
        <w:tc>
          <w:tcPr>
            <w:tcW w:w="2712" w:type="dxa"/>
            <w:tcBorders>
              <w:top w:val="single" w:sz="4" w:space="0" w:color="000000"/>
              <w:left w:val="single" w:sz="4" w:space="0" w:color="000000"/>
              <w:bottom w:val="single" w:sz="4" w:space="0" w:color="000000"/>
              <w:right w:val="single" w:sz="4" w:space="0" w:color="000000"/>
            </w:tcBorders>
            <w:vAlign w:val="center"/>
          </w:tcPr>
          <w:p w14:paraId="27E0E6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  1% </w:t>
            </w:r>
          </w:p>
        </w:tc>
      </w:tr>
      <w:tr w:rsidR="005E6514" w14:paraId="147EFA22" w14:textId="77777777">
        <w:trPr>
          <w:trHeight w:val="288"/>
        </w:trPr>
        <w:tc>
          <w:tcPr>
            <w:tcW w:w="3099" w:type="dxa"/>
            <w:tcBorders>
              <w:top w:val="single" w:sz="4" w:space="0" w:color="000000"/>
              <w:left w:val="single" w:sz="4" w:space="0" w:color="000000"/>
              <w:bottom w:val="single" w:sz="4" w:space="0" w:color="000000"/>
              <w:right w:val="single" w:sz="4" w:space="0" w:color="000000"/>
            </w:tcBorders>
            <w:vAlign w:val="center"/>
          </w:tcPr>
          <w:p w14:paraId="0BC316D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Unicode MS" w:eastAsia="Arial Unicode MS" w:hAnsi="Arial Unicode MS" w:cs="Arial Unicode MS"/>
                <w:color w:val="000000"/>
              </w:rPr>
              <w:t xml:space="preserve">≥ 10% </w:t>
            </w:r>
          </w:p>
        </w:tc>
        <w:tc>
          <w:tcPr>
            <w:tcW w:w="2838" w:type="dxa"/>
            <w:tcBorders>
              <w:top w:val="single" w:sz="4" w:space="0" w:color="000000"/>
              <w:left w:val="single" w:sz="4" w:space="0" w:color="000000"/>
              <w:bottom w:val="single" w:sz="4" w:space="0" w:color="000000"/>
              <w:right w:val="single" w:sz="4" w:space="0" w:color="000000"/>
            </w:tcBorders>
            <w:vAlign w:val="center"/>
          </w:tcPr>
          <w:p w14:paraId="5650C35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0,8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c>
          <w:tcPr>
            <w:tcW w:w="2712" w:type="dxa"/>
            <w:tcBorders>
              <w:top w:val="single" w:sz="4" w:space="0" w:color="000000"/>
              <w:left w:val="single" w:sz="4" w:space="0" w:color="000000"/>
              <w:bottom w:val="single" w:sz="4" w:space="0" w:color="000000"/>
              <w:right w:val="single" w:sz="4" w:space="0" w:color="000000"/>
            </w:tcBorders>
            <w:vAlign w:val="center"/>
          </w:tcPr>
          <w:p w14:paraId="736212FA"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1,1 W</w:t>
            </w:r>
            <w:r>
              <w:rPr>
                <w:rFonts w:ascii="Arial Narrow" w:eastAsia="Arial Narrow" w:hAnsi="Arial Narrow" w:cs="Arial Narrow"/>
                <w:color w:val="000000"/>
                <w:vertAlign w:val="subscript"/>
              </w:rPr>
              <w:t>OPT</w:t>
            </w:r>
            <w:r>
              <w:rPr>
                <w:rFonts w:ascii="Arial Narrow" w:eastAsia="Arial Narrow" w:hAnsi="Arial Narrow" w:cs="Arial Narrow"/>
                <w:color w:val="000000"/>
              </w:rPr>
              <w:t xml:space="preserve"> </w:t>
            </w:r>
          </w:p>
        </w:tc>
      </w:tr>
    </w:tbl>
    <w:p w14:paraId="664EA0D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Sprawdzenie wilgotności należy przeprowadzać laboratoryjnie, z częstotliwością określoną w punkcie 6.  </w:t>
      </w:r>
    </w:p>
    <w:p w14:paraId="717C9A8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 </w:t>
      </w:r>
    </w:p>
    <w:p w14:paraId="544087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5.13.5. 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 </w:t>
      </w:r>
    </w:p>
    <w:p w14:paraId="4AAC78ED"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4" w:name="_3whwml4" w:colFirst="0" w:colLast="0"/>
      <w:bookmarkEnd w:id="24"/>
      <w:r>
        <w:rPr>
          <w:rFonts w:ascii="Arial Narrow" w:eastAsia="Arial Narrow" w:hAnsi="Arial Narrow" w:cs="Arial Narrow"/>
          <w:color w:val="000000"/>
        </w:rPr>
        <w:t xml:space="preserve">5.13.6. 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5A7FB6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5.14 Wymagania dotyczące zagęszczania i nośności nasypu </w:t>
      </w:r>
    </w:p>
    <w:p w14:paraId="2864A0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5.14.1. Wartości wskaźnika zagęszczenia gruntu w nasypie powinny być nie mniejsze niż określono w Tablicy 5.3. Wskaźnik zagęszczenia warstwy należy określić zgodnie z zasadami podanymi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 </w:t>
      </w:r>
    </w:p>
    <w:p w14:paraId="376B085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5.11.1. </w:t>
      </w:r>
    </w:p>
    <w:p w14:paraId="202B68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Tablica 5.3. Minimalne wartości wskaźnika zagęszczenia w nasypach </w:t>
      </w:r>
    </w:p>
    <w:tbl>
      <w:tblPr>
        <w:tblStyle w:val="a1"/>
        <w:tblW w:w="8649" w:type="dxa"/>
        <w:tblInd w:w="852" w:type="dxa"/>
        <w:tblLayout w:type="fixed"/>
        <w:tblLook w:val="0000" w:firstRow="0" w:lastRow="0" w:firstColumn="0" w:lastColumn="0" w:noHBand="0" w:noVBand="0"/>
      </w:tblPr>
      <w:tblGrid>
        <w:gridCol w:w="2976"/>
        <w:gridCol w:w="2391"/>
        <w:gridCol w:w="1560"/>
        <w:gridCol w:w="1722"/>
      </w:tblGrid>
      <w:tr w:rsidR="005E6514" w14:paraId="0514B97C" w14:textId="77777777">
        <w:trPr>
          <w:trHeight w:val="274"/>
        </w:trPr>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3C45119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Strefa nasypu pod powierzchnią (niweletą) robót </w:t>
            </w:r>
          </w:p>
          <w:p w14:paraId="40BFF8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ziemnych</w:t>
            </w:r>
            <w:r>
              <w:rPr>
                <w:rFonts w:ascii="Arial Narrow" w:eastAsia="Arial Narrow" w:hAnsi="Arial Narrow" w:cs="Arial Narrow"/>
                <w:b/>
                <w:color w:val="000000"/>
              </w:rPr>
              <w:t xml:space="preserve"> </w:t>
            </w:r>
          </w:p>
        </w:tc>
        <w:tc>
          <w:tcPr>
            <w:tcW w:w="5673" w:type="dxa"/>
            <w:gridSpan w:val="3"/>
            <w:tcBorders>
              <w:top w:val="single" w:sz="4" w:space="0" w:color="000000"/>
              <w:left w:val="single" w:sz="4" w:space="0" w:color="000000"/>
              <w:bottom w:val="single" w:sz="4" w:space="0" w:color="000000"/>
              <w:right w:val="single" w:sz="4" w:space="0" w:color="000000"/>
            </w:tcBorders>
          </w:tcPr>
          <w:p w14:paraId="1FA7D7F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Minimalna wartość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w:t>
            </w:r>
          </w:p>
        </w:tc>
      </w:tr>
      <w:tr w:rsidR="005E6514" w14:paraId="311E5BB9" w14:textId="77777777">
        <w:trPr>
          <w:trHeight w:val="262"/>
        </w:trPr>
        <w:tc>
          <w:tcPr>
            <w:tcW w:w="2976" w:type="dxa"/>
            <w:vMerge/>
            <w:tcBorders>
              <w:top w:val="single" w:sz="4" w:space="0" w:color="000000"/>
              <w:left w:val="single" w:sz="4" w:space="0" w:color="000000"/>
              <w:bottom w:val="single" w:sz="4" w:space="0" w:color="000000"/>
              <w:right w:val="single" w:sz="4" w:space="0" w:color="000000"/>
            </w:tcBorders>
            <w:vAlign w:val="center"/>
          </w:tcPr>
          <w:p w14:paraId="071C779B"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5673" w:type="dxa"/>
            <w:gridSpan w:val="3"/>
            <w:tcBorders>
              <w:top w:val="single" w:sz="4" w:space="0" w:color="000000"/>
              <w:left w:val="single" w:sz="4" w:space="0" w:color="000000"/>
              <w:bottom w:val="single" w:sz="4" w:space="0" w:color="000000"/>
              <w:right w:val="single" w:sz="4" w:space="0" w:color="000000"/>
            </w:tcBorders>
          </w:tcPr>
          <w:p w14:paraId="6A25399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Kategoria ruchu </w:t>
            </w:r>
          </w:p>
        </w:tc>
      </w:tr>
      <w:tr w:rsidR="005E6514" w14:paraId="49C9DBAB" w14:textId="77777777">
        <w:trPr>
          <w:trHeight w:val="796"/>
        </w:trPr>
        <w:tc>
          <w:tcPr>
            <w:tcW w:w="2976" w:type="dxa"/>
            <w:vMerge/>
            <w:tcBorders>
              <w:top w:val="single" w:sz="4" w:space="0" w:color="000000"/>
              <w:left w:val="single" w:sz="4" w:space="0" w:color="000000"/>
              <w:bottom w:val="single" w:sz="4" w:space="0" w:color="000000"/>
              <w:right w:val="single" w:sz="4" w:space="0" w:color="000000"/>
            </w:tcBorders>
            <w:vAlign w:val="center"/>
          </w:tcPr>
          <w:p w14:paraId="74B19F32" w14:textId="77777777" w:rsidR="005E6514" w:rsidRDefault="005E6514">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2391" w:type="dxa"/>
            <w:tcBorders>
              <w:top w:val="single" w:sz="4" w:space="0" w:color="000000"/>
              <w:left w:val="single" w:sz="4" w:space="0" w:color="000000"/>
              <w:bottom w:val="single" w:sz="4" w:space="0" w:color="000000"/>
              <w:right w:val="single" w:sz="4" w:space="0" w:color="000000"/>
            </w:tcBorders>
            <w:vAlign w:val="center"/>
          </w:tcPr>
          <w:p w14:paraId="5D353CF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KR1-KR2,  </w:t>
            </w:r>
          </w:p>
          <w:p w14:paraId="5E6FEC73"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zjazdy, chodniki, ścieżki rowerowe, ciągi </w:t>
            </w:r>
            <w:proofErr w:type="spellStart"/>
            <w:r>
              <w:rPr>
                <w:rFonts w:ascii="Arial Narrow" w:eastAsia="Arial Narrow" w:hAnsi="Arial Narrow" w:cs="Arial Narrow"/>
                <w:color w:val="000000"/>
              </w:rPr>
              <w:t>pieszojezdne</w:t>
            </w:r>
            <w:proofErr w:type="spellEnd"/>
            <w:r>
              <w:rPr>
                <w:rFonts w:ascii="Arial Narrow" w:eastAsia="Arial Narrow" w:hAnsi="Arial Narrow" w:cs="Arial Narrow"/>
                <w:color w:val="00000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06CEDE22"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KR3-KR4 </w:t>
            </w:r>
          </w:p>
        </w:tc>
        <w:tc>
          <w:tcPr>
            <w:tcW w:w="1722" w:type="dxa"/>
            <w:tcBorders>
              <w:top w:val="single" w:sz="4" w:space="0" w:color="000000"/>
              <w:left w:val="single" w:sz="4" w:space="0" w:color="000000"/>
              <w:bottom w:val="single" w:sz="4" w:space="0" w:color="000000"/>
              <w:right w:val="single" w:sz="4" w:space="0" w:color="000000"/>
            </w:tcBorders>
            <w:vAlign w:val="center"/>
          </w:tcPr>
          <w:p w14:paraId="492C7679"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KR5-KR7 </w:t>
            </w:r>
          </w:p>
        </w:tc>
      </w:tr>
      <w:tr w:rsidR="005E6514" w14:paraId="6105B88E" w14:textId="77777777">
        <w:trPr>
          <w:trHeight w:val="1280"/>
        </w:trPr>
        <w:tc>
          <w:tcPr>
            <w:tcW w:w="2976" w:type="dxa"/>
            <w:tcBorders>
              <w:top w:val="single" w:sz="4" w:space="0" w:color="000000"/>
              <w:left w:val="single" w:sz="4" w:space="0" w:color="000000"/>
              <w:bottom w:val="single" w:sz="4" w:space="0" w:color="000000"/>
              <w:right w:val="single" w:sz="4" w:space="0" w:color="000000"/>
            </w:tcBorders>
          </w:tcPr>
          <w:p w14:paraId="5FFD15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do głębokości równej grubości </w:t>
            </w:r>
          </w:p>
          <w:p w14:paraId="0B30815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górnej warstwy nasypu lub równej grubości warstwy </w:t>
            </w:r>
          </w:p>
          <w:p w14:paraId="5EDDB1A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ulepszonego podłoża o ile </w:t>
            </w:r>
          </w:p>
          <w:p w14:paraId="79F53A7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występuje </w:t>
            </w:r>
          </w:p>
        </w:tc>
        <w:tc>
          <w:tcPr>
            <w:tcW w:w="2391" w:type="dxa"/>
            <w:tcBorders>
              <w:top w:val="single" w:sz="4" w:space="0" w:color="000000"/>
              <w:left w:val="single" w:sz="4" w:space="0" w:color="000000"/>
              <w:bottom w:val="single" w:sz="4" w:space="0" w:color="000000"/>
              <w:right w:val="single" w:sz="4" w:space="0" w:color="000000"/>
            </w:tcBorders>
            <w:vAlign w:val="center"/>
          </w:tcPr>
          <w:p w14:paraId="4FD0EF86"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560" w:type="dxa"/>
            <w:tcBorders>
              <w:top w:val="single" w:sz="4" w:space="0" w:color="000000"/>
              <w:left w:val="single" w:sz="4" w:space="0" w:color="000000"/>
              <w:bottom w:val="single" w:sz="4" w:space="0" w:color="000000"/>
              <w:right w:val="single" w:sz="4" w:space="0" w:color="000000"/>
            </w:tcBorders>
            <w:vAlign w:val="center"/>
          </w:tcPr>
          <w:p w14:paraId="1D81D11B"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vAlign w:val="center"/>
          </w:tcPr>
          <w:p w14:paraId="183FC217"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5C899852"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33861560"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niżej do głębokości 1,2 m </w:t>
            </w:r>
          </w:p>
        </w:tc>
        <w:tc>
          <w:tcPr>
            <w:tcW w:w="2391" w:type="dxa"/>
            <w:tcBorders>
              <w:top w:val="single" w:sz="4" w:space="0" w:color="000000"/>
              <w:left w:val="single" w:sz="4" w:space="0" w:color="000000"/>
              <w:bottom w:val="single" w:sz="4" w:space="0" w:color="000000"/>
              <w:right w:val="single" w:sz="4" w:space="0" w:color="000000"/>
            </w:tcBorders>
          </w:tcPr>
          <w:p w14:paraId="39EECC08"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560" w:type="dxa"/>
            <w:tcBorders>
              <w:top w:val="single" w:sz="4" w:space="0" w:color="000000"/>
              <w:left w:val="single" w:sz="4" w:space="0" w:color="000000"/>
              <w:bottom w:val="single" w:sz="4" w:space="0" w:color="000000"/>
              <w:right w:val="single" w:sz="4" w:space="0" w:color="000000"/>
            </w:tcBorders>
          </w:tcPr>
          <w:p w14:paraId="191625A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c>
          <w:tcPr>
            <w:tcW w:w="1722" w:type="dxa"/>
            <w:tcBorders>
              <w:top w:val="single" w:sz="4" w:space="0" w:color="000000"/>
              <w:left w:val="single" w:sz="4" w:space="0" w:color="000000"/>
              <w:bottom w:val="single" w:sz="4" w:space="0" w:color="000000"/>
              <w:right w:val="single" w:sz="4" w:space="0" w:color="000000"/>
            </w:tcBorders>
          </w:tcPr>
          <w:p w14:paraId="01B01E5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24D5F28E" w14:textId="77777777">
        <w:trPr>
          <w:trHeight w:val="262"/>
        </w:trPr>
        <w:tc>
          <w:tcPr>
            <w:tcW w:w="2976" w:type="dxa"/>
            <w:tcBorders>
              <w:top w:val="single" w:sz="4" w:space="0" w:color="000000"/>
              <w:left w:val="single" w:sz="4" w:space="0" w:color="000000"/>
              <w:bottom w:val="single" w:sz="4" w:space="0" w:color="000000"/>
              <w:right w:val="single" w:sz="4" w:space="0" w:color="000000"/>
            </w:tcBorders>
          </w:tcPr>
          <w:p w14:paraId="25A5670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1,2 m – 2,0 m </w:t>
            </w:r>
          </w:p>
        </w:tc>
        <w:tc>
          <w:tcPr>
            <w:tcW w:w="2391" w:type="dxa"/>
            <w:tcBorders>
              <w:top w:val="single" w:sz="4" w:space="0" w:color="000000"/>
              <w:left w:val="single" w:sz="4" w:space="0" w:color="000000"/>
              <w:bottom w:val="single" w:sz="4" w:space="0" w:color="000000"/>
              <w:right w:val="single" w:sz="4" w:space="0" w:color="000000"/>
            </w:tcBorders>
          </w:tcPr>
          <w:p w14:paraId="556E048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78AFB2F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07716901"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1,00 </w:t>
            </w:r>
          </w:p>
        </w:tc>
      </w:tr>
      <w:tr w:rsidR="005E6514" w14:paraId="0A3DE965" w14:textId="77777777">
        <w:trPr>
          <w:trHeight w:val="271"/>
        </w:trPr>
        <w:tc>
          <w:tcPr>
            <w:tcW w:w="2976" w:type="dxa"/>
            <w:tcBorders>
              <w:top w:val="single" w:sz="4" w:space="0" w:color="000000"/>
              <w:left w:val="single" w:sz="4" w:space="0" w:color="000000"/>
              <w:bottom w:val="single" w:sz="4" w:space="0" w:color="000000"/>
              <w:right w:val="single" w:sz="4" w:space="0" w:color="000000"/>
            </w:tcBorders>
          </w:tcPr>
          <w:p w14:paraId="3EC6E4FD"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Poniżej 2,0 m </w:t>
            </w:r>
          </w:p>
        </w:tc>
        <w:tc>
          <w:tcPr>
            <w:tcW w:w="2391" w:type="dxa"/>
            <w:tcBorders>
              <w:top w:val="single" w:sz="4" w:space="0" w:color="000000"/>
              <w:left w:val="single" w:sz="4" w:space="0" w:color="000000"/>
              <w:bottom w:val="single" w:sz="4" w:space="0" w:color="000000"/>
              <w:right w:val="single" w:sz="4" w:space="0" w:color="000000"/>
            </w:tcBorders>
          </w:tcPr>
          <w:p w14:paraId="6F4B889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0,95 </w:t>
            </w:r>
          </w:p>
        </w:tc>
        <w:tc>
          <w:tcPr>
            <w:tcW w:w="1560" w:type="dxa"/>
            <w:tcBorders>
              <w:top w:val="single" w:sz="4" w:space="0" w:color="000000"/>
              <w:left w:val="single" w:sz="4" w:space="0" w:color="000000"/>
              <w:bottom w:val="single" w:sz="4" w:space="0" w:color="000000"/>
              <w:right w:val="single" w:sz="4" w:space="0" w:color="000000"/>
            </w:tcBorders>
          </w:tcPr>
          <w:p w14:paraId="3FC4CC8C"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c>
          <w:tcPr>
            <w:tcW w:w="1722" w:type="dxa"/>
            <w:tcBorders>
              <w:top w:val="single" w:sz="4" w:space="0" w:color="000000"/>
              <w:left w:val="single" w:sz="4" w:space="0" w:color="000000"/>
              <w:bottom w:val="single" w:sz="4" w:space="0" w:color="000000"/>
              <w:right w:val="single" w:sz="4" w:space="0" w:color="000000"/>
            </w:tcBorders>
          </w:tcPr>
          <w:p w14:paraId="7BE7E4B5" w14:textId="77777777" w:rsidR="005E6514" w:rsidRDefault="00A66738">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0,97 </w:t>
            </w:r>
          </w:p>
        </w:tc>
      </w:tr>
    </w:tbl>
    <w:p w14:paraId="042F821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5.14.2. 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D9D666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5.14.3. 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Narrow" w:eastAsia="Arial Narrow" w:hAnsi="Arial Narrow" w:cs="Arial Narrow"/>
          <w:color w:val="000000"/>
        </w:rPr>
        <w:t>Is</w:t>
      </w:r>
      <w:proofErr w:type="spellEnd"/>
      <w:r>
        <w:rPr>
          <w:rFonts w:ascii="Arial Narrow" w:eastAsia="Arial Narrow" w:hAnsi="Arial Narrow" w:cs="Arial Narrow"/>
          <w:color w:val="000000"/>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w:t>
      </w:r>
    </w:p>
    <w:p w14:paraId="0A6E0E9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5.14.4. Dopuszcza się ocenę stanu zagęszczenia warstwy na podstawie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według zasad i kryteriów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5.11.3., 5.11.4. i 5.11.5. </w:t>
      </w:r>
    </w:p>
    <w:p w14:paraId="3B320E1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5.14.5. 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 </w:t>
      </w:r>
    </w:p>
    <w:p w14:paraId="0A538F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5.14.6. 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określająca zasady wykonania pomiarów w czasie ciągłej kontroli stanu zagęszczenia, wymagania dotyczące systemu gromadzenia i oceny wyników oraz kalibracji z wartościami wskaźnika 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i zakres dopuszczonego ograniczenia badań podstawowych.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p>
    <w:p w14:paraId="42BE9B3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5.14.7. Nośność podłoża gruntowego nawierzchni w nasypie należy określić na podstawie oceny wartości wtórnego modułu odkształcenia E2 oznaczonego według zasad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 5.12.3.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w:t>
      </w:r>
    </w:p>
    <w:p w14:paraId="25550DA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KR3-KR7, musi być określona przez Projektanta w Dokumentacji  Projektowej, przy czym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w nasypie wynosi 50 </w:t>
      </w:r>
      <w:proofErr w:type="spellStart"/>
      <w:r>
        <w:rPr>
          <w:rFonts w:ascii="Arial Narrow" w:eastAsia="Arial Narrow" w:hAnsi="Arial Narrow" w:cs="Arial Narrow"/>
          <w:color w:val="000000"/>
        </w:rPr>
        <w:t>MPa</w:t>
      </w:r>
      <w:proofErr w:type="spellEnd"/>
      <w:r>
        <w:rPr>
          <w:rFonts w:ascii="Arial Narrow" w:eastAsia="Arial Narrow" w:hAnsi="Arial Narrow" w:cs="Arial Narrow"/>
          <w:color w:val="000000"/>
        </w:rPr>
        <w:t>. W Dokumentacji Projektowej może zostać określona wyższa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jeżeli została ona przyjęta w projekcie  konstrukcji nawierzchni.  </w:t>
      </w:r>
    </w:p>
    <w:p w14:paraId="4AF9B1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Dla ruchu KR1 – KR2 minimalna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górnej powierzchni podłoża  gruntowego nawierzchni musi być określona przez Projektanta w Dokumentacji  Projektowej. </w:t>
      </w:r>
    </w:p>
    <w:p w14:paraId="682917D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5.14.8. Jeżeli zaprojektowano wykonanie w nasypie warstwy ulepszonego podłoża to należy  określić nośność gruntu nasypowego pod tą warstwą. Wymagana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gruntu  nasypowego musi być określona przez Projektanta w Dokumentacji Projektowej.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nie może być mniejsza niż przyjęta w Dokumentacji </w:t>
      </w:r>
    </w:p>
    <w:p w14:paraId="0B857C6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Projektowej. Jeżeli stwierdzona wartość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jest mniejsza od wymaganej wówczas Wykonawca zaproponuje do akceptacji Inżyniera/Inspektora nadzoru sposób uzyskania wymaganej nośności.  </w:t>
      </w:r>
    </w:p>
    <w:p w14:paraId="1B029D0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5.14.9. Dopuszcza się ocenę nośności w sytuacjach opisanych w punktach 5.14.7. i 5.14.8.  z zastosowaniem lekkiej płyty dynamicznej LPD na zasadach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punktach 5.12.4. i 5.12.5. Metodami referencyjnymi do określania wskaźnika zagęszczenia gruntów oraz wtórnego modułu odkształcenia są metody opisane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 załącznikach Z2.B oraz Z2.C. </w:t>
      </w:r>
      <w:r w:rsidR="007E1D1E">
        <w:rPr>
          <w:rFonts w:ascii="Arial Narrow" w:eastAsia="Arial Narrow" w:hAnsi="Arial Narrow" w:cs="Arial Narrow"/>
          <w:color w:val="000000"/>
        </w:rPr>
        <w:t>Wynik z płyty dynamicznej dotyczy</w:t>
      </w:r>
      <w:r w:rsidR="007E1D1E" w:rsidRPr="007E1D1E">
        <w:rPr>
          <w:rFonts w:ascii="Arial Narrow" w:eastAsia="Arial Narrow" w:hAnsi="Arial Narrow" w:cs="Arial Narrow"/>
          <w:color w:val="000000"/>
        </w:rPr>
        <w:t xml:space="preserve"> warstwy o grubości do 0,3m</w:t>
      </w:r>
      <w:r w:rsidR="007E1D1E">
        <w:rPr>
          <w:rFonts w:ascii="Arial Narrow" w:eastAsia="Arial Narrow" w:hAnsi="Arial Narrow" w:cs="Arial Narrow"/>
          <w:color w:val="000000"/>
        </w:rPr>
        <w:t>.</w:t>
      </w:r>
    </w:p>
    <w:p w14:paraId="4E4F5A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5" w:name="_2bn6wsx" w:colFirst="0" w:colLast="0"/>
      <w:bookmarkEnd w:id="25"/>
      <w:r>
        <w:rPr>
          <w:rFonts w:ascii="Arial Narrow" w:eastAsia="Arial Narrow" w:hAnsi="Arial Narrow" w:cs="Arial Narrow"/>
          <w:color w:val="000000"/>
        </w:rPr>
        <w:t xml:space="preserve">5.14.10. Podane wymagania, dotyczące zagęszczenia i nośności nasypu, obowiązują na całej  szerokości korpusu ziemnego.  </w:t>
      </w:r>
    </w:p>
    <w:p w14:paraId="55597AF3"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5.15 Odcinek próbny  </w:t>
      </w:r>
    </w:p>
    <w:p w14:paraId="64CE982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5.15.1. Procedurę zagęszczania i grubość warstw należy określić doświadczalnie podczas próbnego zagęszczania stosowanym sprzętem. Odcinek próbny może być zlokalizowany w miejscu docelowym korpusu ziemnego, lub poza docelowym korpusem ziemnym. </w:t>
      </w:r>
    </w:p>
    <w:p w14:paraId="64AF6B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5.15.2. 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 </w:t>
      </w:r>
    </w:p>
    <w:p w14:paraId="38ABBB7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5.15.3. 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2F440FA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5.15.4. Inżynier/Inspektor nadzoru może odstąpić od wymagania wykonania odcinka próbnego w przypadku posiadania przez Wykonawcę dokumentów (badań) potwierdzających możliwość uzyskania wymaganej jakości wbudowania zgodnej z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dla stosowanego materiału. Od wymagania wykonania odcinka próbnego można również odstąpić w </w:t>
      </w:r>
      <w:proofErr w:type="spellStart"/>
      <w:r>
        <w:rPr>
          <w:rFonts w:ascii="Arial Narrow" w:eastAsia="Arial Narrow" w:hAnsi="Arial Narrow" w:cs="Arial Narrow"/>
          <w:color w:val="000000"/>
        </w:rPr>
        <w:t>przypadkustosowania</w:t>
      </w:r>
      <w:proofErr w:type="spellEnd"/>
      <w:r>
        <w:rPr>
          <w:rFonts w:ascii="Arial Narrow" w:eastAsia="Arial Narrow" w:hAnsi="Arial Narrow" w:cs="Arial Narrow"/>
          <w:color w:val="000000"/>
        </w:rPr>
        <w:t xml:space="preserve"> przez Wykonawcę w czasie zagęszczania warstwy ciągłej kontroli zagęszczenia z zastosowaniem mierników zainstalowanych na walcach wibracyjnych. </w:t>
      </w:r>
    </w:p>
    <w:p w14:paraId="6119A62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5.15.5. Jeżeli dopuszczono kontrolę zagęszczenia na podstawie innego parametru niż wskaźnik  </w:t>
      </w:r>
    </w:p>
    <w:p w14:paraId="300805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zagęszczenia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s</w:t>
      </w:r>
      <w:proofErr w:type="spellEnd"/>
      <w:r>
        <w:rPr>
          <w:rFonts w:ascii="Arial Narrow" w:eastAsia="Arial Narrow" w:hAnsi="Arial Narrow" w:cs="Arial Narrow"/>
          <w:color w:val="000000"/>
        </w:rPr>
        <w:t xml:space="preserve"> (na przykład wskaźnik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albo kontrolę nośności na podstawie innego parametru niż wtórny moduł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(na przykład moduł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3EBE555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6" w:name="_qsh70q" w:colFirst="0" w:colLast="0"/>
      <w:bookmarkEnd w:id="26"/>
      <w:r>
        <w:rPr>
          <w:rFonts w:ascii="Arial Narrow" w:eastAsia="Arial Narrow" w:hAnsi="Arial Narrow" w:cs="Arial Narrow"/>
          <w:color w:val="000000"/>
        </w:rPr>
        <w:t xml:space="preserve">5.15.6. Grubość warstw poddanych badaniu na odcinku próbnym musi umożliwiać </w:t>
      </w:r>
      <w:r w:rsidR="007E1D1E">
        <w:rPr>
          <w:rFonts w:ascii="Arial Narrow" w:eastAsia="Arial Narrow" w:hAnsi="Arial Narrow" w:cs="Arial Narrow"/>
          <w:color w:val="000000"/>
        </w:rPr>
        <w:t xml:space="preserve">wykonanie </w:t>
      </w:r>
      <w:r>
        <w:rPr>
          <w:rFonts w:ascii="Arial Narrow" w:eastAsia="Arial Narrow" w:hAnsi="Arial Narrow" w:cs="Arial Narrow"/>
          <w:color w:val="000000"/>
        </w:rPr>
        <w:t xml:space="preserve">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 </w:t>
      </w:r>
    </w:p>
    <w:p w14:paraId="26DCFCCB"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5.16 Ruch budowlany </w:t>
      </w:r>
    </w:p>
    <w:p w14:paraId="06DAB9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5.16.1. Ruch środków transportowych, dowożących grunt, skałę lub inny materiał do budowy  nasypu oraz maszyn rozkładających powinien być tak zorganizowany, aby powodował  równomierne oddziaływanie i zagęszczanie warstw, bez tworzenia kolein. </w:t>
      </w:r>
    </w:p>
    <w:p w14:paraId="1018022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5.16.2. 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 </w:t>
      </w:r>
    </w:p>
    <w:p w14:paraId="0417BA5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5.16.3. 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 </w:t>
      </w:r>
    </w:p>
    <w:p w14:paraId="1D53334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5.16.4. Dodatkowa warstwa nasypu, wymieniona w punktach 5.16.2 i 5.16.3 zostanie usunięta  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1BE2143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27" w:name="_3as4poj" w:colFirst="0" w:colLast="0"/>
      <w:bookmarkEnd w:id="27"/>
      <w:r>
        <w:rPr>
          <w:rFonts w:ascii="Arial Narrow" w:eastAsia="Arial Narrow" w:hAnsi="Arial Narrow" w:cs="Arial Narrow"/>
          <w:color w:val="000000"/>
        </w:rPr>
        <w:t xml:space="preserve">5.16.5. 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 </w:t>
      </w:r>
    </w:p>
    <w:p w14:paraId="4B2D4B88"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5.17 Odkład </w:t>
      </w:r>
    </w:p>
    <w:p w14:paraId="23B76EE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5.17.1. Grunty lub inne materiały powinny być przewiezione na odkład, jeżeli: </w:t>
      </w:r>
    </w:p>
    <w:p w14:paraId="4F2788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stanowią nadmiar objętości w stosunku do objętości gruntów przewidzianych  do wbudowania, </w:t>
      </w:r>
    </w:p>
    <w:p w14:paraId="3A9C95D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są nieprzydatne do budowy nasypów oraz wykorzystania w innych pracach, związanych z budową trasy drogowej, </w:t>
      </w:r>
    </w:p>
    <w:p w14:paraId="242D883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ze względu na harmonogram robót nie jest ekonomicznie uzasadnione oczekiwanie  na wbudowanie materiałów pozyskiwanych z wykopu. </w:t>
      </w:r>
    </w:p>
    <w:p w14:paraId="01CF6C6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 </w:t>
      </w:r>
    </w:p>
    <w:p w14:paraId="0D7EEE7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5.17.2. 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 </w:t>
      </w:r>
    </w:p>
    <w:p w14:paraId="598ED1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5.17.3. 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 </w:t>
      </w:r>
    </w:p>
    <w:p w14:paraId="56F7BD3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5.17.4. Jeżeli odkłady są zlokalizowane wzdłuż odcinka trasy przebiegającego w wykopie, to: </w:t>
      </w:r>
    </w:p>
    <w:p w14:paraId="7921BAD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odkłady można wykonać z obu stron wykopu, jeżeli pochylenie poprzeczne terenu  jest niewielkie, przy czym odległość podnóża skarpy odkładu od górnej krawędzi  wykopu powinna wynosić: </w:t>
      </w:r>
    </w:p>
    <w:p w14:paraId="1E0ACE16"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3 m w gruntach przepuszczalnych, </w:t>
      </w:r>
    </w:p>
    <w:p w14:paraId="1F90EA27" w14:textId="77777777" w:rsidR="005E6514" w:rsidRDefault="00A66738">
      <w:pPr>
        <w:numPr>
          <w:ilvl w:val="1"/>
          <w:numId w:val="17"/>
        </w:numPr>
        <w:pBdr>
          <w:top w:val="nil"/>
          <w:left w:val="nil"/>
          <w:bottom w:val="nil"/>
          <w:right w:val="nil"/>
          <w:between w:val="nil"/>
        </w:pBdr>
        <w:rPr>
          <w:color w:val="000000"/>
        </w:rPr>
      </w:pPr>
      <w:r>
        <w:rPr>
          <w:rFonts w:ascii="Arial Narrow" w:eastAsia="Arial Narrow" w:hAnsi="Arial Narrow" w:cs="Arial Narrow"/>
          <w:color w:val="000000"/>
        </w:rPr>
        <w:t xml:space="preserve">nie mniej niż 5 m w gruntach nieprzepuszczalnych, </w:t>
      </w:r>
    </w:p>
    <w:p w14:paraId="15738A93"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znacznym pochyleniu poprzecznym terenu, jednak mniejszym od 20%, odkład należy wykonać tylko od górnej strony wykopu, dla ochrony od wody spływającej ze zbocza, </w:t>
      </w:r>
    </w:p>
    <w:p w14:paraId="0C97E9EB"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 pochyleniu poprzecznym terenu wynoszącym ponad 20%, odkład należy  zlokalizować poniżej wykopu, </w:t>
      </w:r>
    </w:p>
    <w:p w14:paraId="3AF59EE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 odcinkach zagrożonych przez zasypywanie drogi śniegiem, odkład należy wykonać od strony najczęściej wiejących wiatrów, w odległości ponad 20 m od krawędzi wykopu. </w:t>
      </w:r>
    </w:p>
    <w:p w14:paraId="7BDE0F8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Wykonany odkład musi być stateczny, w szczególności nie może obniżać stateczności skarp wykopu. </w:t>
      </w:r>
    </w:p>
    <w:p w14:paraId="1105D747"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28208BBF"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 </w:t>
      </w:r>
    </w:p>
    <w:p w14:paraId="039DE6C5"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 </w:t>
      </w:r>
    </w:p>
    <w:p w14:paraId="5BAAD8E0" w14:textId="77777777" w:rsidR="005E6514" w:rsidRDefault="00A66738">
      <w:p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 </w:t>
      </w:r>
    </w:p>
    <w:p w14:paraId="444EE3E3"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28" w:name="_1pxezwc" w:colFirst="0" w:colLast="0"/>
      <w:bookmarkEnd w:id="28"/>
      <w:r>
        <w:rPr>
          <w:rFonts w:ascii="Arial Narrow" w:eastAsia="Arial Narrow" w:hAnsi="Arial Narrow" w:cs="Arial Narrow"/>
          <w:b/>
          <w:smallCaps/>
          <w:color w:val="000000"/>
          <w:sz w:val="28"/>
          <w:szCs w:val="28"/>
        </w:rPr>
        <w:t xml:space="preserve">6. KONTROLA JAKOŚCI ROBÓT </w:t>
      </w:r>
    </w:p>
    <w:p w14:paraId="2189657E"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29" w:name="_49x2ik5" w:colFirst="0" w:colLast="0"/>
      <w:bookmarkEnd w:id="29"/>
      <w:r>
        <w:rPr>
          <w:rFonts w:ascii="Arial Narrow" w:eastAsia="Arial Narrow" w:hAnsi="Arial Narrow" w:cs="Arial Narrow"/>
          <w:b/>
          <w:color w:val="000000"/>
          <w:sz w:val="28"/>
          <w:szCs w:val="28"/>
        </w:rPr>
        <w:t xml:space="preserve">6.1 Ogólne wymagania dotyczące kontroli jakości robót </w:t>
      </w:r>
    </w:p>
    <w:p w14:paraId="2F07471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6.1.1. Ogólne wymagania dotyczące kontroli jakości robót oraz zakres czynności koniecznych  do wykonania przed przystąpieniem do wykonania wykopów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w:t>
      </w:r>
    </w:p>
    <w:p w14:paraId="453E7580"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0" w:name="_2p2csry" w:colFirst="0" w:colLast="0"/>
      <w:bookmarkEnd w:id="30"/>
      <w:r>
        <w:rPr>
          <w:rFonts w:ascii="Arial Narrow" w:eastAsia="Arial Narrow" w:hAnsi="Arial Narrow" w:cs="Arial Narrow"/>
          <w:color w:val="000000"/>
        </w:rPr>
        <w:t xml:space="preserve">02.00.01 „Roboty ziemne. Wymagania ogólne” punkt. 6. </w:t>
      </w:r>
    </w:p>
    <w:p w14:paraId="082E81ED"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6.2 Kontrola podczas wykonania nasypów </w:t>
      </w:r>
    </w:p>
    <w:p w14:paraId="7B3B0D1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6.2.1. Sprawdzenie jakości wykonania nasypów podczas budowy polega na kontrolowaniu zgodności z wymaganiami określonymi w Dokumentacji Projektowej 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opracowanych na podstawie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 czasie kontroli robót ziemnych w nasypach szczególną uwagę należy zwrócić na: </w:t>
      </w:r>
    </w:p>
    <w:p w14:paraId="2371AA0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przydatności gruntów, skał lub materiałów do budowy nasypów, </w:t>
      </w:r>
    </w:p>
    <w:p w14:paraId="5A93DE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prawidłowości wykonania poszczególnych warstw nasypu, </w:t>
      </w:r>
    </w:p>
    <w:p w14:paraId="75C6E5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badania zagęszczenia nasypu i ocenę według zasad określonych w punkcie 5.3.3 lub 5.14.1, </w:t>
      </w:r>
    </w:p>
    <w:p w14:paraId="6A6FF297"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badanie nośności na powierzchni podłoża pod nasypami lub na powierzchni wskazanej w dokumentacji projektowej wg zasad określonych w punkcie 5.3.5 lub </w:t>
      </w:r>
    </w:p>
    <w:p w14:paraId="63BA72EE"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5.14.7 i 5.14.8, </w:t>
      </w:r>
    </w:p>
    <w:p w14:paraId="02D7F9C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pomiary kształtu nasypu, </w:t>
      </w:r>
    </w:p>
    <w:p w14:paraId="32959DD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nasypu. </w:t>
      </w:r>
    </w:p>
    <w:p w14:paraId="30D5C99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6.2.2. 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Ocenie należy poddać materiał nasypowy dowieziony w miejsce wbudowania. W każdym badaniu należy określić następujące właściwości: </w:t>
      </w:r>
      <w:r>
        <w:rPr>
          <w:rFonts w:ascii="Arial Narrow" w:eastAsia="Arial Narrow" w:hAnsi="Arial Narrow" w:cs="Arial Narrow"/>
          <w:color w:val="000000"/>
        </w:rPr>
        <w:t xml:space="preserve"> skład granulometryczny, wg załącznika Z2.H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4A41122"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naturalną, wg załącznika Z2.G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532065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wilgotność optymalną i maksymalną gęstość objętościową szkieletu gruntowego, wg załącznika Z2.A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B29176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lastRenderedPageBreak/>
        <w:t xml:space="preserve">zawartość substancji organicznych, wg załącznika Z2.K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1273E3C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granicę płynności, załącznika Z2.I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(nie dotyczy gruntów i materiałów niespoistych), </w:t>
      </w:r>
    </w:p>
    <w:p w14:paraId="02F6DBF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wskaźnik piaskowy, wg załącznika Z2.F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536201F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współczynnik filtracji k (wodoprzepuszczalności) wg załącznika Z2.J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w:t>
      </w:r>
    </w:p>
    <w:p w14:paraId="71F2ACD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t>
      </w:r>
    </w:p>
    <w:p w14:paraId="05DD767F"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6.2.3. Badania kontrolne prawidłowości wykonania poszczególnych warstw nasypu polegają na sprawdzeniu: </w:t>
      </w:r>
    </w:p>
    <w:p w14:paraId="1C17973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prawidłowości rozmieszczenia gruntów o różnych właściwościach w nasypie, </w:t>
      </w:r>
    </w:p>
    <w:p w14:paraId="5010F1D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odwodnienia każdej warstwy, </w:t>
      </w:r>
    </w:p>
    <w:p w14:paraId="351AD5A5"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grubości każdej warstwy i jej wilgotności przy zagęszczaniu; badania należy przeprowadzić nie rzadziej niż jeden raz na 1000 m2 warstwy, </w:t>
      </w:r>
    </w:p>
    <w:p w14:paraId="6182DD2D"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nadania spadków warstwom z gruntów spoistych, </w:t>
      </w:r>
    </w:p>
    <w:p w14:paraId="746BF71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przestrzegania ograniczeń dotyczących wbudowania gruntów w okresie deszczów i mrozów. </w:t>
      </w:r>
    </w:p>
    <w:p w14:paraId="6CF21A5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6.2.4. Sprawdzenie zagęszczenia nasypu oraz podłoża nasypu polega na skontrolowaniu zgodności wartości wskaźnika zagęszczenia I</w:t>
      </w:r>
      <w:r>
        <w:rPr>
          <w:rFonts w:ascii="Arial Narrow" w:eastAsia="Arial Narrow" w:hAnsi="Arial Narrow" w:cs="Arial Narrow"/>
          <w:color w:val="000000"/>
          <w:vertAlign w:val="subscript"/>
        </w:rPr>
        <w:t>S</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6.4.4. </w:t>
      </w:r>
    </w:p>
    <w:p w14:paraId="1EE993C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6.2.5. Jeżeli dopuszczono kontrolę zagęszczenia na podstawie oceny wskaźnika odkształcenia, to sprawdzenie polega na skontrolowaniu zgodności wartości wskaźnika odkształcenia </w:t>
      </w:r>
      <w:proofErr w:type="spellStart"/>
      <w:r>
        <w:rPr>
          <w:rFonts w:ascii="Arial Narrow" w:eastAsia="Arial Narrow" w:hAnsi="Arial Narrow" w:cs="Arial Narrow"/>
          <w:color w:val="000000"/>
        </w:rPr>
        <w:t>I</w:t>
      </w:r>
      <w:r>
        <w:rPr>
          <w:rFonts w:ascii="Arial Narrow" w:eastAsia="Arial Narrow" w:hAnsi="Arial Narrow" w:cs="Arial Narrow"/>
          <w:color w:val="000000"/>
          <w:vertAlign w:val="subscript"/>
        </w:rPr>
        <w:t>o</w:t>
      </w:r>
      <w:proofErr w:type="spellEnd"/>
      <w:r>
        <w:rPr>
          <w:rFonts w:ascii="Arial Narrow" w:eastAsia="Arial Narrow" w:hAnsi="Arial Narrow" w:cs="Arial Narrow"/>
          <w:color w:val="000000"/>
        </w:rPr>
        <w:t xml:space="preserve"> z wartościami określonymi na odcinku próbnym, zaakceptowanymi przez Inżyniera/Inspektora nadzoru. </w:t>
      </w:r>
    </w:p>
    <w:p w14:paraId="01D75C9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6.2.6. Wyniki kontroli nośności Wykonawca powinien wpisywać do dokumentów laboratoryjnych. Spełnienie wymagań dotyczących nośności podłoża pod nasypem oraz powierzchni podłoża gruntowego pod nawierzchnią powinno być potwierdzone przez Inżyniera/Inspektora nadzoru. </w:t>
      </w:r>
    </w:p>
    <w:p w14:paraId="3E06D249"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6.2.7. Sprawdzenie nośności na powierzchni podłoża gruntowego nawierzchni w nasypie oraz podłoża nasypu polega na skontrolowaniu zgodności wartości wtórnego modułu odkształcenia E</w:t>
      </w:r>
      <w:r>
        <w:rPr>
          <w:rFonts w:ascii="Arial Narrow" w:eastAsia="Arial Narrow" w:hAnsi="Arial Narrow" w:cs="Arial Narrow"/>
          <w:color w:val="000000"/>
          <w:vertAlign w:val="subscript"/>
        </w:rPr>
        <w:t>2</w:t>
      </w:r>
      <w:r>
        <w:rPr>
          <w:rFonts w:ascii="Arial Narrow" w:eastAsia="Arial Narrow" w:hAnsi="Arial Narrow" w:cs="Arial Narrow"/>
          <w:color w:val="000000"/>
        </w:rPr>
        <w:t xml:space="preserve"> z wartościami określonymi w punkcie 5. Częstotliwość badań określono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w punkcie 6.4.6. </w:t>
      </w:r>
    </w:p>
    <w:p w14:paraId="26BE096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6.2.8. Jeżeli dopuszczono kontrolę nośności na podstawie oceny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określonego w badaniu lekką płytą dynamiczną LPD, to sprawdzenie polega na skontrolowaniu zgodności wartości modułu </w:t>
      </w:r>
      <w:proofErr w:type="spellStart"/>
      <w:r>
        <w:rPr>
          <w:rFonts w:ascii="Arial Narrow" w:eastAsia="Arial Narrow" w:hAnsi="Arial Narrow" w:cs="Arial Narrow"/>
          <w:color w:val="000000"/>
        </w:rPr>
        <w:t>E</w:t>
      </w:r>
      <w:r>
        <w:rPr>
          <w:rFonts w:ascii="Arial Narrow" w:eastAsia="Arial Narrow" w:hAnsi="Arial Narrow" w:cs="Arial Narrow"/>
          <w:color w:val="000000"/>
          <w:vertAlign w:val="subscript"/>
        </w:rPr>
        <w:t>vd</w:t>
      </w:r>
      <w:proofErr w:type="spellEnd"/>
      <w:r>
        <w:rPr>
          <w:rFonts w:ascii="Arial Narrow" w:eastAsia="Arial Narrow" w:hAnsi="Arial Narrow" w:cs="Arial Narrow"/>
          <w:color w:val="000000"/>
        </w:rPr>
        <w:t xml:space="preserve"> z wartościami określonymi na odcinku próbnym, zaakceptowanymi przez Inżyniera/Inspektora nadzoru</w:t>
      </w:r>
      <w:r w:rsidR="002334AE">
        <w:rPr>
          <w:rFonts w:ascii="Arial Narrow" w:eastAsia="Arial Narrow" w:hAnsi="Arial Narrow" w:cs="Arial Narrow"/>
          <w:color w:val="000000"/>
        </w:rPr>
        <w:t>.</w:t>
      </w:r>
      <w:r>
        <w:rPr>
          <w:rFonts w:ascii="Arial Narrow" w:eastAsia="Arial Narrow" w:hAnsi="Arial Narrow" w:cs="Arial Narrow"/>
          <w:color w:val="000000"/>
        </w:rPr>
        <w:t xml:space="preserve"> </w:t>
      </w:r>
      <w:r w:rsidR="002334AE">
        <w:rPr>
          <w:rFonts w:ascii="Arial Narrow" w:eastAsia="Arial Narrow" w:hAnsi="Arial Narrow" w:cs="Arial Narrow"/>
          <w:color w:val="000000"/>
        </w:rPr>
        <w:t>Wynik z płyty dynamicznej dotyczy</w:t>
      </w:r>
      <w:r w:rsidR="002334AE" w:rsidRPr="007E1D1E">
        <w:rPr>
          <w:rFonts w:ascii="Arial Narrow" w:eastAsia="Arial Narrow" w:hAnsi="Arial Narrow" w:cs="Arial Narrow"/>
          <w:color w:val="000000"/>
        </w:rPr>
        <w:t xml:space="preserve"> warstwy o grubości do 0,3m</w:t>
      </w:r>
      <w:r w:rsidR="002334AE">
        <w:rPr>
          <w:rFonts w:ascii="Arial Narrow" w:eastAsia="Arial Narrow" w:hAnsi="Arial Narrow" w:cs="Arial Narrow"/>
          <w:color w:val="000000"/>
        </w:rPr>
        <w:t>.</w:t>
      </w:r>
    </w:p>
    <w:p w14:paraId="637C48FA"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1" w:name="_147n2zr" w:colFirst="0" w:colLast="0"/>
      <w:bookmarkEnd w:id="31"/>
      <w:r>
        <w:rPr>
          <w:rFonts w:ascii="Arial Narrow" w:eastAsia="Arial Narrow" w:hAnsi="Arial Narrow" w:cs="Arial Narrow"/>
          <w:color w:val="000000"/>
        </w:rPr>
        <w:t xml:space="preserve">6.2.9. Pomiary kształtu nasypu obejmują kontrolę prawidłowości wykonania skarp i szerokości korony korpusu.  </w:t>
      </w:r>
    </w:p>
    <w:p w14:paraId="3208895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6.3 Badania i pomiary do odbioru nasypów </w:t>
      </w:r>
    </w:p>
    <w:p w14:paraId="0C8AC03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6.3.1. Badania do odbioru korpusu ziemnego należy wykonać według zasad i wymagań   oraz z częstotliwością określoną w ST D-02.00.01 „Roboty ziemne. Wymagania ogólne”, punkt 6 i wymagań określonych w  punkcie 5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41FD4C2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2" w:name="_3o7alnk" w:colFirst="0" w:colLast="0"/>
      <w:bookmarkEnd w:id="32"/>
      <w:r>
        <w:rPr>
          <w:rFonts w:ascii="Arial Narrow" w:eastAsia="Arial Narrow" w:hAnsi="Arial Narrow" w:cs="Arial Narrow"/>
          <w:b/>
          <w:smallCaps/>
          <w:color w:val="000000"/>
          <w:sz w:val="28"/>
          <w:szCs w:val="28"/>
        </w:rPr>
        <w:t xml:space="preserve">7. OBMIAR ROBÓT </w:t>
      </w:r>
    </w:p>
    <w:p w14:paraId="2D607C1F"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3" w:name="_23ckvvd" w:colFirst="0" w:colLast="0"/>
      <w:bookmarkEnd w:id="33"/>
      <w:r>
        <w:rPr>
          <w:rFonts w:ascii="Arial Narrow" w:eastAsia="Arial Narrow" w:hAnsi="Arial Narrow" w:cs="Arial Narrow"/>
          <w:b/>
          <w:color w:val="000000"/>
          <w:sz w:val="28"/>
          <w:szCs w:val="28"/>
        </w:rPr>
        <w:t xml:space="preserve">7.1 Ogólne zasady obmiaru robót </w:t>
      </w:r>
    </w:p>
    <w:p w14:paraId="69866AF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4" w:name="_ihv636" w:colFirst="0" w:colLast="0"/>
      <w:bookmarkEnd w:id="34"/>
      <w:r>
        <w:rPr>
          <w:rFonts w:ascii="Arial Narrow" w:eastAsia="Arial Narrow" w:hAnsi="Arial Narrow" w:cs="Arial Narrow"/>
          <w:color w:val="000000"/>
        </w:rPr>
        <w:t xml:space="preserve">7.1.1. Ogólne zasady obmiaru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7 </w:t>
      </w:r>
    </w:p>
    <w:p w14:paraId="64C20D9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7.2 Jednostka obmiarowa </w:t>
      </w:r>
    </w:p>
    <w:p w14:paraId="0390833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Jednostką obmiarową jest metr sześcienny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wykonanych nasypów. </w:t>
      </w:r>
    </w:p>
    <w:p w14:paraId="5A05DC1F"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35" w:name="_32hioqz" w:colFirst="0" w:colLast="0"/>
      <w:bookmarkEnd w:id="35"/>
      <w:r>
        <w:rPr>
          <w:rFonts w:ascii="Arial Narrow" w:eastAsia="Arial Narrow" w:hAnsi="Arial Narrow" w:cs="Arial Narrow"/>
          <w:b/>
          <w:smallCaps/>
          <w:color w:val="000000"/>
          <w:sz w:val="28"/>
          <w:szCs w:val="28"/>
        </w:rPr>
        <w:t xml:space="preserve">8. ODBIÓR ROBÓT </w:t>
      </w:r>
    </w:p>
    <w:p w14:paraId="2DDA6BA0"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36" w:name="_1hmsyys" w:colFirst="0" w:colLast="0"/>
      <w:bookmarkEnd w:id="36"/>
      <w:r>
        <w:rPr>
          <w:rFonts w:ascii="Arial Narrow" w:eastAsia="Arial Narrow" w:hAnsi="Arial Narrow" w:cs="Arial Narrow"/>
          <w:b/>
          <w:color w:val="000000"/>
          <w:sz w:val="28"/>
          <w:szCs w:val="28"/>
        </w:rPr>
        <w:t xml:space="preserve">8.1 Ogólne zasady odbioru robót </w:t>
      </w:r>
    </w:p>
    <w:p w14:paraId="2F5FB53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8.1.1. Ogólne zasady odbioru robót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D-M 00.00.00 „Wymagania Ogólne” punkt 8.  </w:t>
      </w:r>
    </w:p>
    <w:p w14:paraId="05B7BB8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8.1.2. Roboty ziemne uznaje się za wykonane zgodnie z Dokumentacją Projektową,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wymaganiami Inżyniera/Inspektora Nadzoru, jeżeli wszystkie pomiary i badania  wg pkt. 5 i 6 niniejszych STWIORB dały wyniki pozytywne. </w:t>
      </w:r>
    </w:p>
    <w:p w14:paraId="74A1D486"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7" w:name="_41mghml" w:colFirst="0" w:colLast="0"/>
      <w:bookmarkEnd w:id="37"/>
      <w:r>
        <w:rPr>
          <w:rFonts w:ascii="Arial Narrow" w:eastAsia="Arial Narrow" w:hAnsi="Arial Narrow" w:cs="Arial Narrow"/>
          <w:color w:val="000000"/>
        </w:rPr>
        <w:t xml:space="preserve">8.1.3. Do odbioru ostatecznego uwzględniane są wyniki badań i pomiarów kontrolnych, badań i pomiarów kontrolnych dodatkowych oraz badań i pomiarów arbitrażowych do wyznaczonych odcinków częściowych. </w:t>
      </w:r>
    </w:p>
    <w:p w14:paraId="7F63188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8.2 Odbiór robót zanikających lub ulegających zakryciu </w:t>
      </w:r>
    </w:p>
    <w:p w14:paraId="17B0089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8.2.1. Odbiór tych robót powinien być zgodny z wymaganiami punktu 8.2 STWIORB DM- 00.00.00 "Wymagania Ogólne" oraz niniejszych STWIORB. </w:t>
      </w:r>
    </w:p>
    <w:p w14:paraId="57459EAE"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24E56AA8"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8" w:name="_2grqrue" w:colFirst="0" w:colLast="0"/>
      <w:bookmarkEnd w:id="38"/>
      <w:r>
        <w:rPr>
          <w:rFonts w:ascii="Arial Narrow" w:eastAsia="Arial Narrow" w:hAnsi="Arial Narrow" w:cs="Arial Narrow"/>
          <w:color w:val="000000"/>
        </w:rPr>
        <w:t xml:space="preserve">8.2.3. Jakość i ilość robót ulegających zakryciu ocenia Inżynier/Inspektor Nadzoru na podstawie dokumentów zawierających komplet wyników badań laboratoryjnych i w oparciu o przeprowadzone pomiary. </w:t>
      </w:r>
    </w:p>
    <w:p w14:paraId="103962A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8.3 Odbiór częściowy </w:t>
      </w:r>
    </w:p>
    <w:p w14:paraId="048AA6A5"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39" w:name="_vx1227" w:colFirst="0" w:colLast="0"/>
      <w:bookmarkEnd w:id="39"/>
      <w:r>
        <w:rPr>
          <w:rFonts w:ascii="Arial Narrow" w:eastAsia="Arial Narrow" w:hAnsi="Arial Narrow" w:cs="Arial Narrow"/>
          <w:color w:val="000000"/>
        </w:rPr>
        <w:t xml:space="preserve">8.3.1. Odbiór częściowy polega na ocenie ilości i jakości wykonanych części robót. Odbioru częściowego robót dokonuje się wg zasad jak przy odbiorze ostatecznym robót. Odbioru robót dokonuje Inżynier/Inspektor Nadzoru. </w:t>
      </w:r>
    </w:p>
    <w:p w14:paraId="5627B2B9"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lastRenderedPageBreak/>
        <w:t xml:space="preserve">8.4 Odbiór ostateczny </w:t>
      </w:r>
    </w:p>
    <w:p w14:paraId="4C00588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8.4.1. Roboty objęte niniejszymi STWIORB podlegają odbiorowi na zasadzie robót zanikających i ulegających zakryciu, który jest dokonywany na podstawie wyników pomiarów, badań i oceny wizualnej. </w:t>
      </w:r>
    </w:p>
    <w:p w14:paraId="4451B792"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8.4.2. Do odbioru Wykonawca przedstawia wszystkie dokumenty z bieżącej kontroli jakości robót oraz Dokumentację Projektową z naniesionymi zmianami i uzupełnieniami dokonanymi w trakcie robót (dokumentację powykonawczą).  </w:t>
      </w:r>
    </w:p>
    <w:p w14:paraId="0DFC252C"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0" w:name="_3fwokq0" w:colFirst="0" w:colLast="0"/>
      <w:bookmarkEnd w:id="40"/>
      <w:r>
        <w:rPr>
          <w:rFonts w:ascii="Arial Narrow" w:eastAsia="Arial Narrow" w:hAnsi="Arial Narrow" w:cs="Arial Narrow"/>
          <w:color w:val="000000"/>
        </w:rPr>
        <w:t xml:space="preserve">8.4.3.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1D2AC741"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8.5 Zasady postępowania z wadliwie wykonanymi robotami </w:t>
      </w:r>
    </w:p>
    <w:p w14:paraId="0D2AB9E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8.5.1. Jeżeli wystąpią wyniki negatywne dla materiałów i robót (nie spełniające wymagań określonych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i opracowanych na ich podstawie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a ich wyniki będą pozytywne. Wykonawca w programie tym jest zobowiązany dokonać oceny wpływu na trwałość, przedstawić sposób naprawienia wady lub wnioskować o zredukowanie ceny kontraktowej. </w:t>
      </w:r>
    </w:p>
    <w:p w14:paraId="3B2B33C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8.5.2. Na zastosowanie programu naprawczego wyraża zgodę Inżynier/Inspektor Nadzoru/Zamawiający.  </w:t>
      </w:r>
    </w:p>
    <w:p w14:paraId="036E371B"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8.5.3. W przypadku braku zgody Inżyniera/Inspektora Nadzoru/Zamawiającego na zastosowanie programu naprawczego wszystkie materiały i roboty nie spełniające wymagań podanych w odpowiednich punktach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zostaną odrzucone. Wykonawca wymieni materiały na właściwe i wykona prawidłowo roboty na własny koszt. </w:t>
      </w:r>
    </w:p>
    <w:p w14:paraId="3644CA2C" w14:textId="77777777" w:rsidR="005E6514" w:rsidRDefault="00A66738" w:rsidP="005378D1">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8.5.4. Jeżeli wymiana materiałów niespełniających wymagań lub wadliwie wykonane roboty spowodowują szkodę w innych, prawidłowo wykonanych robotach, to również te roboty powinny być ponownie wykonane przez Wykonawcę na jego koszt. </w:t>
      </w:r>
    </w:p>
    <w:p w14:paraId="080CB8C7"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bookmarkStart w:id="41" w:name="_1v1yuxt" w:colFirst="0" w:colLast="0"/>
      <w:bookmarkEnd w:id="41"/>
      <w:r>
        <w:rPr>
          <w:rFonts w:ascii="Arial Narrow" w:eastAsia="Arial Narrow" w:hAnsi="Arial Narrow" w:cs="Arial Narrow"/>
          <w:b/>
          <w:smallCaps/>
          <w:color w:val="000000"/>
          <w:sz w:val="28"/>
          <w:szCs w:val="28"/>
        </w:rPr>
        <w:t xml:space="preserve">9. PODSTAWA PŁATNOŚCI </w:t>
      </w:r>
    </w:p>
    <w:p w14:paraId="6B196602"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bookmarkStart w:id="42" w:name="_4f1mdlm" w:colFirst="0" w:colLast="0"/>
      <w:bookmarkEnd w:id="42"/>
      <w:r>
        <w:rPr>
          <w:rFonts w:ascii="Arial Narrow" w:eastAsia="Arial Narrow" w:hAnsi="Arial Narrow" w:cs="Arial Narrow"/>
          <w:b/>
          <w:color w:val="000000"/>
          <w:sz w:val="28"/>
          <w:szCs w:val="28"/>
        </w:rPr>
        <w:t xml:space="preserve">9.1 Ogólne ustalenia dotyczące podstawy płatności </w:t>
      </w:r>
    </w:p>
    <w:p w14:paraId="486B5203"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3" w:name="_2u6wntf" w:colFirst="0" w:colLast="0"/>
      <w:bookmarkEnd w:id="43"/>
      <w:r>
        <w:rPr>
          <w:rFonts w:ascii="Arial Narrow" w:eastAsia="Arial Narrow" w:hAnsi="Arial Narrow" w:cs="Arial Narrow"/>
          <w:color w:val="000000"/>
        </w:rPr>
        <w:t xml:space="preserve">Ogólne ustalenia dotyczące podstawy płatności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9. </w:t>
      </w:r>
    </w:p>
    <w:p w14:paraId="58361D85"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9.2 Cena jednostki obmiarowej </w:t>
      </w:r>
    </w:p>
    <w:p w14:paraId="2F176EC1"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9.2.1. Cena wykonania 1 m</w:t>
      </w:r>
      <w:r>
        <w:rPr>
          <w:rFonts w:ascii="Arial Narrow" w:eastAsia="Arial Narrow" w:hAnsi="Arial Narrow" w:cs="Arial Narrow"/>
          <w:color w:val="000000"/>
          <w:vertAlign w:val="superscript"/>
        </w:rPr>
        <w:t>3</w:t>
      </w:r>
      <w:r>
        <w:rPr>
          <w:rFonts w:ascii="Arial Narrow" w:eastAsia="Arial Narrow" w:hAnsi="Arial Narrow" w:cs="Arial Narrow"/>
          <w:color w:val="000000"/>
        </w:rPr>
        <w:t xml:space="preserve"> nasypu obejmuje: </w:t>
      </w:r>
    </w:p>
    <w:p w14:paraId="3100AA1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pomiarowe i roboty przygotowawcze, </w:t>
      </w:r>
    </w:p>
    <w:p w14:paraId="018B301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oznakowanie Robót, </w:t>
      </w:r>
    </w:p>
    <w:p w14:paraId="53C0D179"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przygotowanie podłoża pod nasyp zgodnie z Dokumentacją Projektową i wymaganiami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2730F71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pozyskanie gruntu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jego odspojenie i załadunek na środki  transportowe lub zakup materiału i załadunek na środki transportowe, </w:t>
      </w:r>
    </w:p>
    <w:p w14:paraId="1C84BE8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transport urobku z ukopu lub/i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lub zakupionego materiału na miejsce  wbudowania, </w:t>
      </w:r>
    </w:p>
    <w:p w14:paraId="2B8EBE61"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badań materiału (gruntu) określających typ, rodzaj materiału  do wbudowania w nasyp, </w:t>
      </w:r>
    </w:p>
    <w:p w14:paraId="1E2A479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doprowadzenie gruntu lub materiału do wilgotności optymalnej,  </w:t>
      </w:r>
    </w:p>
    <w:p w14:paraId="57090FB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wbudowanie dostarczonego gruntu lub materiału w nasyp w sposób określony w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11ADEC74"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zagęszczenie gruntu w nasypach do wymaganych poziomów zagęszczenia i wymaganej nośności, </w:t>
      </w:r>
    </w:p>
    <w:p w14:paraId="5854DE5A"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wzmocnienia o ile było przewidziane, </w:t>
      </w:r>
    </w:p>
    <w:p w14:paraId="4AE31616"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profilowanie powierzchni nasypu, rowów i skarp (z uwzględnieniem wymagań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04D3195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wyprofilowanie skarp ukopu i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w:t>
      </w:r>
    </w:p>
    <w:p w14:paraId="31800628"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rekultywację </w:t>
      </w:r>
      <w:proofErr w:type="spellStart"/>
      <w:r>
        <w:rPr>
          <w:rFonts w:ascii="Arial Narrow" w:eastAsia="Arial Narrow" w:hAnsi="Arial Narrow" w:cs="Arial Narrow"/>
          <w:color w:val="000000"/>
        </w:rPr>
        <w:t>dokopu</w:t>
      </w:r>
      <w:proofErr w:type="spellEnd"/>
      <w:r>
        <w:rPr>
          <w:rFonts w:ascii="Arial Narrow" w:eastAsia="Arial Narrow" w:hAnsi="Arial Narrow" w:cs="Arial Narrow"/>
          <w:color w:val="000000"/>
        </w:rPr>
        <w:t xml:space="preserve"> i terenu przyległego do drogi, </w:t>
      </w:r>
    </w:p>
    <w:p w14:paraId="1779076C"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odwodnienie terenu robót, </w:t>
      </w:r>
    </w:p>
    <w:p w14:paraId="191E7A6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wykonanie dróg dojazdowych na czas budowy, a następnie ich rozebranie, </w:t>
      </w:r>
    </w:p>
    <w:p w14:paraId="41497AEF"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przeprowadzenie pomiarów i badań laboratoryjnych wymaganych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AFDF64C" w14:textId="77777777" w:rsidR="005E6514" w:rsidRDefault="00A66738">
      <w:pPr>
        <w:numPr>
          <w:ilvl w:val="0"/>
          <w:numId w:val="17"/>
        </w:numPr>
        <w:pBdr>
          <w:top w:val="nil"/>
          <w:left w:val="nil"/>
          <w:bottom w:val="nil"/>
          <w:right w:val="nil"/>
          <w:between w:val="nil"/>
        </w:pBdr>
        <w:rPr>
          <w:color w:val="000000"/>
        </w:rPr>
      </w:pPr>
      <w:bookmarkStart w:id="44" w:name="_19c6y18" w:colFirst="0" w:colLast="0"/>
      <w:bookmarkEnd w:id="44"/>
      <w:r>
        <w:rPr>
          <w:rFonts w:ascii="Arial Narrow" w:eastAsia="Arial Narrow" w:hAnsi="Arial Narrow" w:cs="Arial Narrow"/>
          <w:color w:val="000000"/>
        </w:rPr>
        <w:t xml:space="preserve">wszelkie inne czynności związane z prawidłowym wykonaniem robót zgodnie z wymaganiami niniejszych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w:t>
      </w:r>
    </w:p>
    <w:p w14:paraId="3BDE826C" w14:textId="77777777" w:rsidR="005E6514" w:rsidRDefault="00A66738">
      <w:pPr>
        <w:keepNext/>
        <w:pBdr>
          <w:top w:val="nil"/>
          <w:left w:val="nil"/>
          <w:bottom w:val="nil"/>
          <w:right w:val="nil"/>
          <w:between w:val="nil"/>
        </w:pBdr>
        <w:shd w:val="clear" w:color="auto" w:fill="BFBFBF"/>
        <w:jc w:val="both"/>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 xml:space="preserve">9.3 Sposób rozliczenia robót tymczasowych i prac towarzyszących </w:t>
      </w:r>
    </w:p>
    <w:p w14:paraId="623E47A4"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r>
        <w:rPr>
          <w:rFonts w:ascii="Arial Narrow" w:eastAsia="Arial Narrow" w:hAnsi="Arial Narrow" w:cs="Arial Narrow"/>
          <w:color w:val="000000"/>
        </w:rPr>
        <w:t xml:space="preserve">Cena wykonania robót określonych niniejszymi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obejmuje: </w:t>
      </w:r>
    </w:p>
    <w:p w14:paraId="0A4F59B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roboty tymczasowe, które są potrzebne do wykonania robót podstawowych, ale nie są przekazywane Zamawiającemu i są usuwane po wykonaniu robót podstawowych, </w:t>
      </w:r>
    </w:p>
    <w:p w14:paraId="21307920" w14:textId="77777777" w:rsidR="005E6514" w:rsidRDefault="00A66738">
      <w:pPr>
        <w:numPr>
          <w:ilvl w:val="0"/>
          <w:numId w:val="17"/>
        </w:numPr>
        <w:pBdr>
          <w:top w:val="nil"/>
          <w:left w:val="nil"/>
          <w:bottom w:val="nil"/>
          <w:right w:val="nil"/>
          <w:between w:val="nil"/>
        </w:pBdr>
        <w:rPr>
          <w:color w:val="000000"/>
        </w:rPr>
      </w:pPr>
      <w:r>
        <w:rPr>
          <w:rFonts w:ascii="Arial Narrow" w:eastAsia="Arial Narrow" w:hAnsi="Arial Narrow" w:cs="Arial Narrow"/>
          <w:color w:val="000000"/>
        </w:rPr>
        <w:t xml:space="preserve">prace towarzyszące, które są niezbędne do wykonania robót podstawowych, niezaliczane do robót tymczasowych, jak geodezyjne wytyczenie robót itd. </w:t>
      </w:r>
    </w:p>
    <w:p w14:paraId="5BA37F57" w14:textId="77777777"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5" w:name="_3tbugp1" w:colFirst="0" w:colLast="0"/>
      <w:bookmarkEnd w:id="45"/>
      <w:r>
        <w:rPr>
          <w:rFonts w:ascii="Arial Narrow" w:eastAsia="Arial Narrow" w:hAnsi="Arial Narrow" w:cs="Arial Narrow"/>
          <w:color w:val="000000"/>
        </w:rPr>
        <w:t xml:space="preserve"> </w:t>
      </w:r>
    </w:p>
    <w:p w14:paraId="2A5907B8" w14:textId="77777777" w:rsidR="005E6514" w:rsidRDefault="00A66738">
      <w:pPr>
        <w:keepNext/>
        <w:keepLines/>
        <w:pBdr>
          <w:top w:val="nil"/>
          <w:left w:val="nil"/>
          <w:bottom w:val="nil"/>
          <w:right w:val="nil"/>
          <w:between w:val="nil"/>
        </w:pBdr>
        <w:jc w:val="both"/>
        <w:rPr>
          <w:rFonts w:ascii="Arial Narrow" w:eastAsia="Arial Narrow" w:hAnsi="Arial Narrow" w:cs="Arial Narrow"/>
          <w:b/>
          <w:smallCaps/>
          <w:color w:val="000000"/>
          <w:sz w:val="28"/>
          <w:szCs w:val="28"/>
        </w:rPr>
      </w:pPr>
      <w:r>
        <w:rPr>
          <w:rFonts w:ascii="Arial Narrow" w:eastAsia="Arial Narrow" w:hAnsi="Arial Narrow" w:cs="Arial Narrow"/>
          <w:b/>
          <w:smallCaps/>
          <w:color w:val="000000"/>
          <w:sz w:val="28"/>
          <w:szCs w:val="28"/>
        </w:rPr>
        <w:t xml:space="preserve">10. PRZEPISY ZWIĄZANE </w:t>
      </w:r>
    </w:p>
    <w:p w14:paraId="3489F2E3" w14:textId="4D2BFCC9" w:rsidR="005E6514" w:rsidRDefault="00A66738">
      <w:pPr>
        <w:pBdr>
          <w:top w:val="nil"/>
          <w:left w:val="nil"/>
          <w:bottom w:val="nil"/>
          <w:right w:val="nil"/>
          <w:between w:val="nil"/>
        </w:pBdr>
        <w:ind w:firstLine="709"/>
        <w:jc w:val="both"/>
        <w:rPr>
          <w:rFonts w:ascii="Arial Narrow" w:eastAsia="Arial Narrow" w:hAnsi="Arial Narrow" w:cs="Arial Narrow"/>
          <w:color w:val="000000"/>
        </w:rPr>
      </w:pPr>
      <w:bookmarkStart w:id="46" w:name="_28h4qwu" w:colFirst="0" w:colLast="0"/>
      <w:bookmarkEnd w:id="46"/>
      <w:r>
        <w:rPr>
          <w:rFonts w:ascii="Arial Narrow" w:eastAsia="Arial Narrow" w:hAnsi="Arial Narrow" w:cs="Arial Narrow"/>
          <w:color w:val="000000"/>
        </w:rPr>
        <w:t xml:space="preserve">Przepisy związane podano w </w:t>
      </w:r>
      <w:proofErr w:type="spellStart"/>
      <w:r>
        <w:rPr>
          <w:rFonts w:ascii="Arial Narrow" w:eastAsia="Arial Narrow" w:hAnsi="Arial Narrow" w:cs="Arial Narrow"/>
          <w:color w:val="000000"/>
        </w:rPr>
        <w:t>STWiORB</w:t>
      </w:r>
      <w:proofErr w:type="spellEnd"/>
      <w:r>
        <w:rPr>
          <w:rFonts w:ascii="Arial Narrow" w:eastAsia="Arial Narrow" w:hAnsi="Arial Narrow" w:cs="Arial Narrow"/>
          <w:color w:val="000000"/>
        </w:rPr>
        <w:t xml:space="preserve"> D-02.00.01 „Roboty ziemne. Wymagania ogólne”, punkt 10. </w:t>
      </w:r>
    </w:p>
    <w:p w14:paraId="2B8D7E1E" w14:textId="6E2C093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A6B0F73" w14:textId="683C81B9"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44972F7" w14:textId="40CC68FD"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7CE4841A" w14:textId="65ACE39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4A4D5C7" w14:textId="32AA01AB"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3F0ED6D0" w14:textId="3753AD4C"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02C1E3E" w14:textId="5790FE00"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6912A8FB" w14:textId="77777777" w:rsidR="00D41B34" w:rsidRPr="001D75DB" w:rsidRDefault="00D41B34" w:rsidP="00D41B34">
      <w:r w:rsidRPr="001D75DB">
        <w:lastRenderedPageBreak/>
        <w:t xml:space="preserve">ZAŁĄCZNIK 1 </w:t>
      </w:r>
    </w:p>
    <w:p w14:paraId="0BE98B04" w14:textId="7873FE38" w:rsidR="00D41B34" w:rsidRPr="001D75DB" w:rsidRDefault="00D41B34" w:rsidP="00D41B34">
      <w:r w:rsidRPr="001D75DB">
        <w:t xml:space="preserve"> </w:t>
      </w:r>
      <w:r w:rsidRPr="001D75DB">
        <w:rPr>
          <w:noProof/>
        </w:rPr>
        <mc:AlternateContent>
          <mc:Choice Requires="wpg">
            <w:drawing>
              <wp:inline distT="0" distB="0" distL="0" distR="0" wp14:anchorId="229265F6" wp14:editId="5FB33137">
                <wp:extent cx="5805805" cy="206375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12E093B2"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FD31B37"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A0C9BBB" w14:textId="77777777" w:rsidR="00D41B34" w:rsidRDefault="00D41B34" w:rsidP="00D41B34">
                              <w:pPr>
                                <w:spacing w:after="160" w:line="259" w:lineRule="auto"/>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5D4AAEF4" w14:textId="77777777" w:rsidR="00D41B34" w:rsidRDefault="00D41B34" w:rsidP="00D41B34">
                              <w:pPr>
                                <w:spacing w:after="160" w:line="259" w:lineRule="auto"/>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7"/>
                          <a:stretch>
                            <a:fillRect/>
                          </a:stretch>
                        </pic:blipFill>
                        <pic:spPr>
                          <a:xfrm>
                            <a:off x="0" y="221310"/>
                            <a:ext cx="5761356" cy="1587500"/>
                          </a:xfrm>
                          <a:prstGeom prst="rect">
                            <a:avLst/>
                          </a:prstGeom>
                        </pic:spPr>
                      </pic:pic>
                    </wpg:wgp>
                  </a:graphicData>
                </a:graphic>
              </wp:inline>
            </w:drawing>
          </mc:Choice>
          <mc:Fallback>
            <w:pict>
              <v:group w14:anchorId="229265F6" id="Grupa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12E093B2" w14:textId="77777777" w:rsidR="00D41B34" w:rsidRDefault="00D41B34" w:rsidP="00D41B34">
                        <w:pPr>
                          <w:spacing w:after="160" w:line="259" w:lineRule="auto"/>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FD31B37" w14:textId="77777777" w:rsidR="00D41B34" w:rsidRDefault="00D41B34" w:rsidP="00D41B34">
                        <w:pPr>
                          <w:spacing w:after="160" w:line="259" w:lineRule="auto"/>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A0C9BBB" w14:textId="77777777" w:rsidR="00D41B34" w:rsidRDefault="00D41B34" w:rsidP="00D41B34">
                        <w:pPr>
                          <w:spacing w:after="160" w:line="259" w:lineRule="auto"/>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5D4AAEF4" w14:textId="77777777" w:rsidR="00D41B34" w:rsidRDefault="00D41B34" w:rsidP="00D41B34">
                        <w:pPr>
                          <w:spacing w:after="160" w:line="259" w:lineRule="auto"/>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8" o:title=""/>
                </v:shape>
                <w10:anchorlock/>
              </v:group>
            </w:pict>
          </mc:Fallback>
        </mc:AlternateContent>
      </w:r>
    </w:p>
    <w:p w14:paraId="1986C629" w14:textId="13B97307" w:rsidR="00D41B34" w:rsidRPr="001D75DB" w:rsidRDefault="00D41B34" w:rsidP="00D41B34">
      <w:pPr>
        <w:rPr>
          <w:noProof/>
        </w:rPr>
      </w:pPr>
      <w:r w:rsidRPr="001D75DB">
        <w:rPr>
          <w:noProof/>
        </w:rPr>
        <w:drawing>
          <wp:inline distT="0" distB="0" distL="0" distR="0" wp14:anchorId="7D6E45B8" wp14:editId="0DE86FF6">
            <wp:extent cx="5764530" cy="866775"/>
            <wp:effectExtent l="0" t="0" r="762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4530" cy="866775"/>
                    </a:xfrm>
                    <a:prstGeom prst="rect">
                      <a:avLst/>
                    </a:prstGeom>
                    <a:noFill/>
                    <a:ln>
                      <a:noFill/>
                    </a:ln>
                  </pic:spPr>
                </pic:pic>
              </a:graphicData>
            </a:graphic>
          </wp:inline>
        </w:drawing>
      </w:r>
    </w:p>
    <w:p w14:paraId="692647B2" w14:textId="77777777" w:rsidR="00F53C3F" w:rsidRPr="001D75DB" w:rsidRDefault="00D41B34" w:rsidP="00D41B34">
      <w:r w:rsidRPr="001D75DB">
        <w:t xml:space="preserve">Z1.A. Wymagany wskaźnik zagęszczania w nasypach i w wykopach. </w:t>
      </w:r>
    </w:p>
    <w:p w14:paraId="3FEB688C" w14:textId="11D31055" w:rsidR="00D41B34" w:rsidRPr="001D75DB" w:rsidRDefault="00D41B34" w:rsidP="00D41B34">
      <w:r w:rsidRPr="001D75DB">
        <w:t xml:space="preserve">  </w:t>
      </w:r>
    </w:p>
    <w:p w14:paraId="451686AB" w14:textId="70519ADF" w:rsidR="00D41B34" w:rsidRPr="001D75DB" w:rsidRDefault="00D41B34" w:rsidP="00F53C3F">
      <w:pPr>
        <w:spacing w:after="160" w:line="259" w:lineRule="auto"/>
        <w:jc w:val="center"/>
        <w:rPr>
          <w:b/>
        </w:rPr>
      </w:pPr>
      <w:r w:rsidRPr="001D75DB">
        <w:rPr>
          <w:b/>
        </w:rPr>
        <w:t>Rysunek Z1.2. Wykop i miejsca zerowe robót ziemnych</w:t>
      </w:r>
    </w:p>
    <w:p w14:paraId="0C3936B9" w14:textId="77777777" w:rsidR="00D41B34" w:rsidRPr="001D75DB" w:rsidRDefault="00D41B34" w:rsidP="00D41B34">
      <w:r w:rsidRPr="001D75DB">
        <w:t xml:space="preserve">  </w:t>
      </w:r>
    </w:p>
    <w:p w14:paraId="09F52091" w14:textId="77777777" w:rsidR="00D41B34" w:rsidRPr="001D75DB" w:rsidRDefault="00D41B34" w:rsidP="00D41B34">
      <w:r w:rsidRPr="001D75DB">
        <w:t xml:space="preserve">Z1.B. Nośność  </w:t>
      </w:r>
    </w:p>
    <w:p w14:paraId="1BEF077C" w14:textId="77777777" w:rsidR="00D41B34" w:rsidRPr="001D75DB" w:rsidRDefault="00D41B34" w:rsidP="00D41B34">
      <w:r w:rsidRPr="001D75DB">
        <w:t xml:space="preserve">1.Podane schematy uwzględniają typowe rozwiązania występujące w </w:t>
      </w:r>
      <w:proofErr w:type="spellStart"/>
      <w:r w:rsidRPr="001D75DB">
        <w:t>KTKNPiP</w:t>
      </w:r>
      <w:proofErr w:type="spellEnd"/>
      <w:r w:rsidRPr="001D75DB">
        <w:t xml:space="preserve"> oraz w KTKNS. </w:t>
      </w:r>
    </w:p>
    <w:p w14:paraId="3BFEEB5A" w14:textId="77777777" w:rsidR="00D41B34" w:rsidRPr="001D75DB" w:rsidRDefault="00D41B34" w:rsidP="00D41B34">
      <w:r w:rsidRPr="001D75DB">
        <w:t xml:space="preserve">2.W przypadku rozwiązań indywidualnych wymagania dla nośności należy określić  w Dokumentacji Technicznej. </w:t>
      </w:r>
    </w:p>
    <w:p w14:paraId="3D97A43A" w14:textId="77777777" w:rsidR="00D41B34" w:rsidRPr="001D75DB" w:rsidRDefault="00D41B34" w:rsidP="00D41B34">
      <w:r w:rsidRPr="001D75DB">
        <w:t xml:space="preserve">3.Oznaczenia: </w:t>
      </w:r>
    </w:p>
    <w:p w14:paraId="7D841850" w14:textId="77777777" w:rsidR="00D41B34" w:rsidRPr="001D75DB" w:rsidRDefault="00D41B34" w:rsidP="00D41B34">
      <w:r w:rsidRPr="001D75DB">
        <w:t xml:space="preserve">GWN   górna warstwa nasypu, </w:t>
      </w:r>
    </w:p>
    <w:p w14:paraId="4FA5ADB2" w14:textId="77777777" w:rsidR="00D41B34" w:rsidRPr="001D75DB" w:rsidRDefault="00D41B34" w:rsidP="00D41B34">
      <w:r w:rsidRPr="001D75DB">
        <w:t xml:space="preserve">UPG  ulepszone podłoże gruntowe, </w:t>
      </w:r>
    </w:p>
    <w:p w14:paraId="22057097" w14:textId="77777777" w:rsidR="00D41B34" w:rsidRPr="001D75DB" w:rsidRDefault="00D41B34" w:rsidP="00D41B34">
      <w:r w:rsidRPr="001D75DB">
        <w:t xml:space="preserve">H(GWN)  grubość górnej warstwy nasypu, </w:t>
      </w:r>
    </w:p>
    <w:p w14:paraId="45BD0C0C" w14:textId="77777777" w:rsidR="00D41B34" w:rsidRPr="001D75DB" w:rsidRDefault="00D41B34" w:rsidP="00D41B34">
      <w:r w:rsidRPr="001D75DB">
        <w:t xml:space="preserve">H(UPG)   grubość warstwy ulepszonego podłoża gruntowego. </w:t>
      </w:r>
    </w:p>
    <w:p w14:paraId="0084153C" w14:textId="77777777" w:rsidR="00D41B34" w:rsidRPr="001D75DB" w:rsidRDefault="00D41B34" w:rsidP="00D41B34">
      <w:r w:rsidRPr="001D75DB">
        <w:t xml:space="preserve"> </w:t>
      </w:r>
    </w:p>
    <w:p w14:paraId="662F4F59" w14:textId="78FAE738" w:rsidR="00D41B34" w:rsidRPr="001D75DB" w:rsidRDefault="00D41B34" w:rsidP="00D41B34">
      <w:r w:rsidRPr="001D75DB">
        <w:t xml:space="preserve">  </w:t>
      </w:r>
      <w:r w:rsidRPr="001D75DB">
        <w:rPr>
          <w:noProof/>
        </w:rPr>
        <w:drawing>
          <wp:inline distT="0" distB="0" distL="0" distR="0" wp14:anchorId="0A75A446" wp14:editId="6C6EFD5E">
            <wp:extent cx="3267710" cy="1654175"/>
            <wp:effectExtent l="0" t="0" r="889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7710" cy="1654175"/>
                    </a:xfrm>
                    <a:prstGeom prst="rect">
                      <a:avLst/>
                    </a:prstGeom>
                    <a:noFill/>
                    <a:ln>
                      <a:noFill/>
                    </a:ln>
                  </pic:spPr>
                </pic:pic>
              </a:graphicData>
            </a:graphic>
          </wp:inline>
        </w:drawing>
      </w:r>
    </w:p>
    <w:p w14:paraId="4003FE26" w14:textId="77777777" w:rsidR="00D41B34" w:rsidRPr="001D75DB" w:rsidRDefault="00D41B34" w:rsidP="00D41B34">
      <w:r w:rsidRPr="001D75DB">
        <w:t xml:space="preserve">Rysunek Z1.3. Nośność dla wykopów dla kategorii ruchu KR1-KR2 </w:t>
      </w:r>
    </w:p>
    <w:p w14:paraId="7439BD8F" w14:textId="77777777" w:rsidR="00D41B34" w:rsidRPr="001D75DB" w:rsidRDefault="00D41B34" w:rsidP="00D41B34">
      <w:r w:rsidRPr="001D75DB">
        <w:t xml:space="preserve">  </w:t>
      </w:r>
    </w:p>
    <w:p w14:paraId="662A1B45" w14:textId="299E77B3" w:rsidR="00D41B34" w:rsidRPr="001D75DB" w:rsidRDefault="00D41B34" w:rsidP="00D41B34">
      <w:r w:rsidRPr="001D75DB">
        <w:t xml:space="preserve"> </w:t>
      </w:r>
      <w:r w:rsidRPr="001D75DB">
        <w:rPr>
          <w:noProof/>
        </w:rPr>
        <w:drawing>
          <wp:inline distT="0" distB="0" distL="0" distR="0" wp14:anchorId="5E2BD1CB" wp14:editId="3AB76B5C">
            <wp:extent cx="4262120" cy="1812925"/>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2120" cy="1812925"/>
                    </a:xfrm>
                    <a:prstGeom prst="rect">
                      <a:avLst/>
                    </a:prstGeom>
                    <a:noFill/>
                    <a:ln>
                      <a:noFill/>
                    </a:ln>
                  </pic:spPr>
                </pic:pic>
              </a:graphicData>
            </a:graphic>
          </wp:inline>
        </w:drawing>
      </w:r>
    </w:p>
    <w:p w14:paraId="78651DE0" w14:textId="77777777" w:rsidR="00D41B34" w:rsidRPr="001D75DB" w:rsidRDefault="00D41B34" w:rsidP="00D41B34">
      <w:r w:rsidRPr="001D75DB">
        <w:t xml:space="preserve">Rysunek Z1.4. Nośność dla nasypów dla kategorii ruchu KR1-KR2 </w:t>
      </w:r>
    </w:p>
    <w:p w14:paraId="5A380539" w14:textId="6AF14D63" w:rsidR="00D41B34" w:rsidRPr="001D75DB" w:rsidRDefault="00D41B34" w:rsidP="00D41B34">
      <w:r w:rsidRPr="001D75DB">
        <w:lastRenderedPageBreak/>
        <w:t xml:space="preserve">  </w:t>
      </w:r>
      <w:r w:rsidRPr="001D75DB">
        <w:rPr>
          <w:noProof/>
        </w:rPr>
        <w:drawing>
          <wp:inline distT="0" distB="0" distL="0" distR="0" wp14:anchorId="521C33B5" wp14:editId="4BCF4E07">
            <wp:extent cx="2901950" cy="19399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1950" cy="1939925"/>
                    </a:xfrm>
                    <a:prstGeom prst="rect">
                      <a:avLst/>
                    </a:prstGeom>
                    <a:noFill/>
                    <a:ln>
                      <a:noFill/>
                    </a:ln>
                  </pic:spPr>
                </pic:pic>
              </a:graphicData>
            </a:graphic>
          </wp:inline>
        </w:drawing>
      </w:r>
    </w:p>
    <w:p w14:paraId="322D3672" w14:textId="77777777" w:rsidR="00D41B34" w:rsidRPr="001D75DB" w:rsidRDefault="00D41B34" w:rsidP="00D41B34">
      <w:r w:rsidRPr="001D75DB">
        <w:t xml:space="preserve">Rysunek Z1.5. Nośność dla wykopów i nasypów dla kategorii ruchu KR3-KR4 </w:t>
      </w:r>
    </w:p>
    <w:p w14:paraId="0B8E8BFC" w14:textId="77777777" w:rsidR="00D41B34" w:rsidRPr="001D75DB" w:rsidRDefault="00D41B34" w:rsidP="00D41B34">
      <w:r w:rsidRPr="001D75DB">
        <w:t xml:space="preserve"> </w:t>
      </w:r>
    </w:p>
    <w:p w14:paraId="769CEA7B" w14:textId="2E211E6A" w:rsidR="00D41B34" w:rsidRPr="001D75DB" w:rsidRDefault="00D41B34" w:rsidP="00D41B34">
      <w:r w:rsidRPr="001D75DB">
        <w:t xml:space="preserve">  </w:t>
      </w:r>
      <w:r w:rsidRPr="001D75DB">
        <w:rPr>
          <w:noProof/>
        </w:rPr>
        <w:drawing>
          <wp:inline distT="0" distB="0" distL="0" distR="0" wp14:anchorId="1EF8943A" wp14:editId="13F4B71A">
            <wp:extent cx="2568575" cy="171767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8575" cy="1717675"/>
                    </a:xfrm>
                    <a:prstGeom prst="rect">
                      <a:avLst/>
                    </a:prstGeom>
                    <a:noFill/>
                    <a:ln>
                      <a:noFill/>
                    </a:ln>
                  </pic:spPr>
                </pic:pic>
              </a:graphicData>
            </a:graphic>
          </wp:inline>
        </w:drawing>
      </w:r>
    </w:p>
    <w:p w14:paraId="7CDC69C4" w14:textId="77777777" w:rsidR="00D41B34" w:rsidRPr="001D75DB" w:rsidRDefault="00D41B34" w:rsidP="00D41B34">
      <w:r w:rsidRPr="001D75DB">
        <w:t xml:space="preserve">Rysunek Z1.6. Nośność dla wykopów dla kategorii ruchu KR5-KR7 </w:t>
      </w:r>
    </w:p>
    <w:p w14:paraId="2ED2726D" w14:textId="77777777" w:rsidR="00D41B34" w:rsidRPr="001D75DB" w:rsidRDefault="00D41B34" w:rsidP="00D41B34">
      <w:r w:rsidRPr="001D75DB">
        <w:t xml:space="preserve"> </w:t>
      </w:r>
    </w:p>
    <w:p w14:paraId="5A7C7A91" w14:textId="77777777" w:rsidR="00D41B34" w:rsidRPr="001D75DB" w:rsidRDefault="00D41B34" w:rsidP="00D41B34">
      <w:r w:rsidRPr="001D75DB">
        <w:t xml:space="preserve">  </w:t>
      </w:r>
    </w:p>
    <w:p w14:paraId="7476E4A4" w14:textId="696A845B" w:rsidR="00D41B34" w:rsidRPr="001D75DB" w:rsidRDefault="00D41B34" w:rsidP="00D41B34">
      <w:r w:rsidRPr="001D75DB">
        <w:t xml:space="preserve"> </w:t>
      </w:r>
      <w:r w:rsidRPr="001D75DB">
        <w:rPr>
          <w:noProof/>
        </w:rPr>
        <mc:AlternateContent>
          <mc:Choice Requires="wpg">
            <w:drawing>
              <wp:inline distT="0" distB="0" distL="0" distR="0" wp14:anchorId="655E5FBD" wp14:editId="4A31893B">
                <wp:extent cx="3261995" cy="1752600"/>
                <wp:effectExtent l="0" t="0" r="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14"/>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069268B4"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320F4F03" w14:textId="77777777" w:rsidR="00D41B34" w:rsidRDefault="00D41B34" w:rsidP="00D41B34">
                              <w:pPr>
                                <w:spacing w:after="160" w:line="259" w:lineRule="auto"/>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75A7D37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61D05D92" w14:textId="77777777" w:rsidR="00D41B34" w:rsidRDefault="00D41B34" w:rsidP="00D41B34">
                              <w:pPr>
                                <w:spacing w:after="160" w:line="259" w:lineRule="auto"/>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5D79BD0"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09314062"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56A33ED4" w14:textId="77777777" w:rsidR="00D41B34" w:rsidRDefault="00D41B34" w:rsidP="00D41B34">
                              <w:pPr>
                                <w:spacing w:after="160" w:line="259" w:lineRule="auto"/>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66CB9719"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192C5C15"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74E52AA7"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6C287571"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7919FC03" w14:textId="77777777" w:rsidR="00D41B34" w:rsidRDefault="00D41B34" w:rsidP="00D41B34">
                              <w:pPr>
                                <w:spacing w:after="160" w:line="259" w:lineRule="auto"/>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3706CBFE" w14:textId="77777777" w:rsidR="00D41B34" w:rsidRDefault="00D41B34" w:rsidP="00D41B34">
                              <w:pPr>
                                <w:spacing w:after="160" w:line="259" w:lineRule="auto"/>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34813D3F" w14:textId="77777777" w:rsidR="00D41B34" w:rsidRDefault="00D41B34" w:rsidP="00D41B34">
                              <w:pPr>
                                <w:spacing w:after="160" w:line="259" w:lineRule="auto"/>
                              </w:pPr>
                              <w:r>
                                <w:rPr>
                                  <w:sz w:val="12"/>
                                </w:rPr>
                                <w:t xml:space="preserve"> </w:t>
                              </w:r>
                            </w:p>
                          </w:txbxContent>
                        </wps:txbx>
                        <wps:bodyPr horzOverflow="overflow" vert="horz" lIns="0" tIns="0" rIns="0" bIns="0" rtlCol="0">
                          <a:noAutofit/>
                        </wps:bodyPr>
                      </wps:wsp>
                    </wpg:wgp>
                  </a:graphicData>
                </a:graphic>
              </wp:inline>
            </w:drawing>
          </mc:Choice>
          <mc:Fallback>
            <w:pict>
              <v:group w14:anchorId="655E5FBD" id="Grupa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15"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069268B4" w14:textId="77777777" w:rsidR="00D41B34" w:rsidRDefault="00D41B34" w:rsidP="00D41B34">
                        <w:pPr>
                          <w:spacing w:after="160" w:line="259" w:lineRule="auto"/>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320F4F03" w14:textId="77777777" w:rsidR="00D41B34" w:rsidRDefault="00D41B34" w:rsidP="00D41B34">
                        <w:pPr>
                          <w:spacing w:after="160" w:line="259" w:lineRule="auto"/>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75A7D37E" w14:textId="77777777" w:rsidR="00D41B34" w:rsidRDefault="00D41B34" w:rsidP="00D41B34">
                        <w:pPr>
                          <w:spacing w:after="160" w:line="259" w:lineRule="auto"/>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61D05D92" w14:textId="77777777" w:rsidR="00D41B34" w:rsidRDefault="00D41B34" w:rsidP="00D41B34">
                        <w:pPr>
                          <w:spacing w:after="160" w:line="259" w:lineRule="auto"/>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25D79BD0" w14:textId="77777777" w:rsidR="00D41B34" w:rsidRDefault="00D41B34" w:rsidP="00D41B34">
                        <w:pPr>
                          <w:spacing w:after="160" w:line="259" w:lineRule="auto"/>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09314062" w14:textId="77777777" w:rsidR="00D41B34" w:rsidRDefault="00D41B34" w:rsidP="00D41B34">
                        <w:pPr>
                          <w:spacing w:after="160" w:line="259" w:lineRule="auto"/>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56A33ED4" w14:textId="77777777" w:rsidR="00D41B34" w:rsidRDefault="00D41B34" w:rsidP="00D41B34">
                        <w:pPr>
                          <w:spacing w:after="160" w:line="259" w:lineRule="auto"/>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66CB9719" w14:textId="77777777" w:rsidR="00D41B34" w:rsidRDefault="00D41B34" w:rsidP="00D41B34">
                        <w:pPr>
                          <w:spacing w:after="160" w:line="259" w:lineRule="auto"/>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192C5C15" w14:textId="77777777" w:rsidR="00D41B34" w:rsidRDefault="00D41B34" w:rsidP="00D41B34">
                        <w:pPr>
                          <w:spacing w:after="160" w:line="259" w:lineRule="auto"/>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74E52AA7" w14:textId="77777777" w:rsidR="00D41B34" w:rsidRDefault="00D41B34" w:rsidP="00D41B34">
                        <w:pPr>
                          <w:spacing w:after="160" w:line="259" w:lineRule="auto"/>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6C287571" w14:textId="77777777" w:rsidR="00D41B34" w:rsidRDefault="00D41B34" w:rsidP="00D41B34">
                        <w:pPr>
                          <w:spacing w:after="160" w:line="259" w:lineRule="auto"/>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7919FC03" w14:textId="77777777" w:rsidR="00D41B34" w:rsidRDefault="00D41B34" w:rsidP="00D41B34">
                        <w:pPr>
                          <w:spacing w:after="160" w:line="259" w:lineRule="auto"/>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3706CBFE" w14:textId="77777777" w:rsidR="00D41B34" w:rsidRDefault="00D41B34" w:rsidP="00D41B34">
                        <w:pPr>
                          <w:spacing w:after="160" w:line="259" w:lineRule="auto"/>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34813D3F" w14:textId="77777777" w:rsidR="00D41B34" w:rsidRDefault="00D41B34" w:rsidP="00D41B34">
                        <w:pPr>
                          <w:spacing w:after="160" w:line="259" w:lineRule="auto"/>
                        </w:pPr>
                        <w:r>
                          <w:rPr>
                            <w:sz w:val="12"/>
                          </w:rPr>
                          <w:t xml:space="preserve"> </w:t>
                        </w:r>
                      </w:p>
                    </w:txbxContent>
                  </v:textbox>
                </v:rect>
                <w10:anchorlock/>
              </v:group>
            </w:pict>
          </mc:Fallback>
        </mc:AlternateContent>
      </w:r>
    </w:p>
    <w:p w14:paraId="102E4ADD" w14:textId="77777777" w:rsidR="00D41B34" w:rsidRPr="001D75DB" w:rsidRDefault="00D41B34" w:rsidP="00D41B34">
      <w:r w:rsidRPr="001D75DB">
        <w:t xml:space="preserve">Rysunek Z1.7. Nośność dla nasypów dla kategorii ruchu KR5-KR7 </w:t>
      </w:r>
    </w:p>
    <w:p w14:paraId="5AFAA752" w14:textId="77777777" w:rsidR="00D41B34" w:rsidRPr="001D75DB" w:rsidRDefault="00D41B34" w:rsidP="00D41B34">
      <w:r w:rsidRPr="001D75DB">
        <w:t xml:space="preserve">  </w:t>
      </w:r>
    </w:p>
    <w:p w14:paraId="5CF1E6FA" w14:textId="77777777" w:rsidR="00D41B34" w:rsidRPr="001D75DB" w:rsidRDefault="00D41B34" w:rsidP="00D41B34">
      <w:r w:rsidRPr="001D75DB">
        <w:t xml:space="preserve">ZAŁĄCZNIK 2 </w:t>
      </w:r>
    </w:p>
    <w:p w14:paraId="4736FE21" w14:textId="77777777" w:rsidR="00D41B34" w:rsidRPr="001D75DB" w:rsidRDefault="00D41B34" w:rsidP="00D41B34">
      <w:r w:rsidRPr="001D75DB">
        <w:t xml:space="preserve"> </w:t>
      </w:r>
    </w:p>
    <w:p w14:paraId="23C014C0" w14:textId="77777777" w:rsidR="00D41B34" w:rsidRPr="001D75DB" w:rsidRDefault="00D41B34" w:rsidP="00D41B34">
      <w:r w:rsidRPr="001D75DB">
        <w:t xml:space="preserve">METODY WYKONANIA BADAŃ KONTROLNYCH W ROBOTACH ZIEMNYCH </w:t>
      </w:r>
    </w:p>
    <w:p w14:paraId="1AE8DEA5" w14:textId="77777777" w:rsidR="00D41B34" w:rsidRPr="001D75DB" w:rsidRDefault="00D41B34" w:rsidP="00D41B34">
      <w:r w:rsidRPr="001D75DB">
        <w:t xml:space="preserve"> </w:t>
      </w:r>
    </w:p>
    <w:p w14:paraId="72B2320F" w14:textId="77777777" w:rsidR="00D41B34" w:rsidRPr="001D75DB" w:rsidRDefault="00D41B34" w:rsidP="00D41B34">
      <w:r w:rsidRPr="001D75DB">
        <w:t xml:space="preserve">Z2.A OZNACZANIE WILGOTNOŚCI OPTYMALNEJ I MAKSYMALNEJ GĘSTOSCI OBJĘTOŚCIOWEJ SZKIELETU (BADANIE PROCTORA) </w:t>
      </w:r>
    </w:p>
    <w:p w14:paraId="39376CA6" w14:textId="77777777" w:rsidR="00D41B34" w:rsidRPr="001D75DB" w:rsidRDefault="00D41B34" w:rsidP="00D41B34">
      <w:r w:rsidRPr="001D75DB">
        <w:t xml:space="preserve">Z2.B OZNACZANIE WSKAŹNIKA ZAGĘSZCZENIA </w:t>
      </w:r>
    </w:p>
    <w:p w14:paraId="1E4FF83E" w14:textId="77777777" w:rsidR="00D41B34" w:rsidRPr="001D75DB" w:rsidRDefault="00D41B34" w:rsidP="00D41B34">
      <w:r w:rsidRPr="001D75DB">
        <w:t xml:space="preserve">Z2.C OZNACZANIE MODUŁU ODKSZTAŁCENIA PODŁOŻA PRZEZ OBCIĄŻENIE PŁYTĄ (POD OBCIĄŻENIEM STATYCZNYM) </w:t>
      </w:r>
    </w:p>
    <w:p w14:paraId="7CF3377D" w14:textId="77777777" w:rsidR="00D41B34" w:rsidRPr="001D75DB" w:rsidRDefault="00D41B34" w:rsidP="00D41B34">
      <w:r w:rsidRPr="001D75DB">
        <w:t xml:space="preserve">Z2.D OZNACZANIE MODUŁU ODKSZTAŁCENIA PODŁOŻA POD OBCIĄŻENIEM DYNAMICZNYM LEKKĄ PŁYTĄ LPD </w:t>
      </w:r>
    </w:p>
    <w:p w14:paraId="19A4B5DE" w14:textId="77777777" w:rsidR="00D41B34" w:rsidRPr="001D75DB" w:rsidRDefault="00D41B34" w:rsidP="00D41B34">
      <w:r w:rsidRPr="001D75DB">
        <w:t xml:space="preserve">Z2.E OZNACZANIE WSKAŹNIKA NOŚNOŚCI CBR I PĘCZNIENIA LINIOWEGO </w:t>
      </w:r>
    </w:p>
    <w:p w14:paraId="5EE1B813" w14:textId="77777777" w:rsidR="00D41B34" w:rsidRPr="001D75DB" w:rsidRDefault="00D41B34" w:rsidP="00D41B34">
      <w:r w:rsidRPr="001D75DB">
        <w:t xml:space="preserve">Z2.F  OZNACZANIE WSKAŹNIKA PIASKOWEGO </w:t>
      </w:r>
    </w:p>
    <w:p w14:paraId="145F941C" w14:textId="77777777" w:rsidR="00D41B34" w:rsidRPr="001D75DB" w:rsidRDefault="00D41B34" w:rsidP="00D41B34">
      <w:r w:rsidRPr="001D75DB">
        <w:t xml:space="preserve">Z2.G  OZNACZANIE WILGOTNOŚCI </w:t>
      </w:r>
    </w:p>
    <w:p w14:paraId="31C1BC88" w14:textId="77777777" w:rsidR="00D41B34" w:rsidRPr="001D75DB" w:rsidRDefault="00D41B34" w:rsidP="00D41B34">
      <w:r w:rsidRPr="001D75DB">
        <w:t xml:space="preserve">Z2.H OZNACZANIE UZIARNIENIA </w:t>
      </w:r>
    </w:p>
    <w:p w14:paraId="706A7662" w14:textId="77777777" w:rsidR="00D41B34" w:rsidRPr="001D75DB" w:rsidRDefault="00D41B34" w:rsidP="00D41B34">
      <w:r w:rsidRPr="001D75DB">
        <w:t xml:space="preserve">Z2.I OZNACZANIE GRANICY PLASTYCZNOŚCI WP I GRANICY PŁYNNOSCI WL </w:t>
      </w:r>
    </w:p>
    <w:p w14:paraId="3F4C8AA8" w14:textId="77777777" w:rsidR="00D41B34" w:rsidRPr="001D75DB" w:rsidRDefault="00D41B34" w:rsidP="00D41B34">
      <w:r w:rsidRPr="001D75DB">
        <w:t xml:space="preserve">Z2.J  OZNACZANIE WSPÓŁCZYNNIKA WODOPRZEPUSZCZALNOŚCI k </w:t>
      </w:r>
    </w:p>
    <w:p w14:paraId="76702F03" w14:textId="77777777" w:rsidR="00D41B34" w:rsidRPr="001D75DB" w:rsidRDefault="00D41B34" w:rsidP="00D41B34">
      <w:r w:rsidRPr="001D75DB">
        <w:t xml:space="preserve">Z2.K  OZNACZANIE ZAWARTOŚCI SUBSATNCJI ORGANICZNYCH </w:t>
      </w:r>
    </w:p>
    <w:p w14:paraId="48C87A14" w14:textId="77777777" w:rsidR="00D41B34" w:rsidRPr="001D75DB" w:rsidRDefault="00D41B34" w:rsidP="00D41B34">
      <w:r w:rsidRPr="001D75DB">
        <w:lastRenderedPageBreak/>
        <w:t xml:space="preserve">Z2.L POŚREDNIE OZNACZANIE WSKAŹNIKA ZAGĘSZCZENIA NA PODSTAWIE STOPNIA ZAGĘSZCZENIA OKREŚLONEGO W BADANIU SONDĄ DYNAMICZNĄ </w:t>
      </w:r>
    </w:p>
    <w:p w14:paraId="4E0031FF" w14:textId="77777777" w:rsidR="00D41B34" w:rsidRPr="001D75DB" w:rsidRDefault="00D41B34" w:rsidP="00D41B34">
      <w:r w:rsidRPr="001D75DB">
        <w:t xml:space="preserve"> </w:t>
      </w:r>
    </w:p>
    <w:p w14:paraId="788AF094" w14:textId="77777777" w:rsidR="00D41B34" w:rsidRPr="001D75DB" w:rsidRDefault="00D41B34" w:rsidP="00D41B34">
      <w:r w:rsidRPr="001D75DB">
        <w:t xml:space="preserve"> </w:t>
      </w:r>
    </w:p>
    <w:p w14:paraId="053C6205" w14:textId="77777777" w:rsidR="00D41B34" w:rsidRPr="001D75DB" w:rsidRDefault="00D41B34" w:rsidP="00D41B34">
      <w:r w:rsidRPr="001D75DB">
        <w:t xml:space="preserve"> </w:t>
      </w:r>
    </w:p>
    <w:p w14:paraId="7888FDDB" w14:textId="77777777" w:rsidR="00D41B34" w:rsidRPr="001D75DB" w:rsidRDefault="00D41B34" w:rsidP="00D41B34">
      <w:r w:rsidRPr="001D75DB">
        <w:t xml:space="preserve"> </w:t>
      </w:r>
    </w:p>
    <w:p w14:paraId="3A7FA28F" w14:textId="77777777" w:rsidR="00D41B34" w:rsidRPr="001D75DB" w:rsidRDefault="00D41B34" w:rsidP="00D41B34">
      <w:r w:rsidRPr="001D75DB">
        <w:t xml:space="preserve"> </w:t>
      </w:r>
    </w:p>
    <w:p w14:paraId="4D8C2649" w14:textId="77777777" w:rsidR="00D41B34" w:rsidRPr="001D75DB" w:rsidRDefault="00D41B34" w:rsidP="00D41B34">
      <w:r w:rsidRPr="001D75DB">
        <w:t xml:space="preserve">UWAGA: </w:t>
      </w:r>
    </w:p>
    <w:p w14:paraId="14A58C4C" w14:textId="77777777" w:rsidR="00D41B34" w:rsidRPr="001D75DB" w:rsidRDefault="00D41B34" w:rsidP="00D41B34">
      <w:r w:rsidRPr="001D75DB">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2E0407EB" w14:textId="77777777" w:rsidR="00D41B34" w:rsidRPr="001D75DB" w:rsidRDefault="00D41B34" w:rsidP="00D41B34">
      <w:r w:rsidRPr="001D75DB">
        <w:t xml:space="preserve"> </w:t>
      </w:r>
    </w:p>
    <w:p w14:paraId="6D46A4C0" w14:textId="14EC921F" w:rsidR="00D41B34" w:rsidRPr="001D75DB" w:rsidRDefault="00D41B34" w:rsidP="00D41B34">
      <w:r w:rsidRPr="001D75DB">
        <w:t xml:space="preserve">Dopuszcza się stosowanie innych metod kontroli niż wskazane w niniejszych </w:t>
      </w:r>
      <w:proofErr w:type="spellStart"/>
      <w:r w:rsidRPr="001D75DB">
        <w:t>STWiORB</w:t>
      </w:r>
      <w:proofErr w:type="spellEnd"/>
      <w:r w:rsidRPr="001D75DB">
        <w:t xml:space="preserve"> pod warunkiem spełnienia warunków określonych w punkcie 6.1.3. niniejszych </w:t>
      </w:r>
      <w:proofErr w:type="spellStart"/>
      <w:r w:rsidRPr="001D75DB">
        <w:t>STWiORB</w:t>
      </w:r>
      <w:proofErr w:type="spellEnd"/>
      <w:r w:rsidRPr="001D75DB">
        <w:t xml:space="preserve">. </w:t>
      </w:r>
    </w:p>
    <w:p w14:paraId="4A2B4379" w14:textId="77777777" w:rsidR="00D41B34" w:rsidRPr="001D75DB" w:rsidRDefault="00D41B34" w:rsidP="00D41B34">
      <w:r w:rsidRPr="001D75DB">
        <w:t xml:space="preserve"> </w:t>
      </w:r>
    </w:p>
    <w:p w14:paraId="78C85E2F" w14:textId="77777777" w:rsidR="00D41B34" w:rsidRPr="001D75DB" w:rsidRDefault="00D41B34" w:rsidP="00D41B34">
      <w:r w:rsidRPr="001D75DB">
        <w:t xml:space="preserve">Z2.A OZNACZANIE WILGOTNOŚCI OPTYMALNEJ I MAKSYMALNEJ GĘSTOSCI OBJĘTOŚCIOWEJ SZKIELETU (BADANIE PROCTORA) </w:t>
      </w:r>
    </w:p>
    <w:p w14:paraId="39D21A20" w14:textId="77777777" w:rsidR="00D41B34" w:rsidRPr="001D75DB" w:rsidRDefault="00D41B34" w:rsidP="00D41B34">
      <w:r w:rsidRPr="001D75DB">
        <w:t xml:space="preserve">Procedura badania wilgotności optymalnej i maksymalnej gęstości objętościowej szkieletu gruntów zawarta jest w normie PN-B-04481:1988 w punkcie 8. </w:t>
      </w:r>
    </w:p>
    <w:p w14:paraId="4C410A93" w14:textId="77777777" w:rsidR="00D41B34" w:rsidRPr="001D75DB" w:rsidRDefault="00D41B34" w:rsidP="00D41B34">
      <w:r w:rsidRPr="001D75DB">
        <w:t xml:space="preserve">Procedura badania wilgotności optymalnej i maksymalnej gęstości objętości szkieletu mieszanek kruszyw zawarta jest w normie PN-EN 13286-2.  </w:t>
      </w:r>
    </w:p>
    <w:p w14:paraId="763F9825" w14:textId="77777777" w:rsidR="00D41B34" w:rsidRPr="001D75DB" w:rsidRDefault="00D41B34" w:rsidP="00D41B34">
      <w:r w:rsidRPr="001D75DB">
        <w:t xml:space="preserve">W oznaczeniu wilgotności optymalnej i maksymalnej gęstości objętościowej szkieletu gruntów  i mieszanek kruszyw oraz wartości wskaźnika zagęszczenia </w:t>
      </w:r>
      <w:proofErr w:type="spellStart"/>
      <w:r w:rsidRPr="001D75DB">
        <w:t>Is</w:t>
      </w:r>
      <w:proofErr w:type="spellEnd"/>
      <w:r w:rsidRPr="001D75DB">
        <w:t xml:space="preserve"> należy stosować badanie </w:t>
      </w:r>
      <w:proofErr w:type="spellStart"/>
      <w:r w:rsidRPr="001D75DB">
        <w:t>Proctora</w:t>
      </w:r>
      <w:proofErr w:type="spellEnd"/>
      <w:r w:rsidRPr="001D75DB">
        <w:t xml:space="preserve">  i energię zagęszczania dobraną odpowiednio do stosowanej metody badawczej.  </w:t>
      </w:r>
    </w:p>
    <w:p w14:paraId="00BCAF1E" w14:textId="77777777" w:rsidR="00D41B34" w:rsidRPr="001D75DB" w:rsidRDefault="00D41B34" w:rsidP="00D41B34">
      <w:r w:rsidRPr="001D75DB">
        <w:t xml:space="preserve"> </w:t>
      </w:r>
    </w:p>
    <w:p w14:paraId="6196C61F" w14:textId="77777777" w:rsidR="00D41B34" w:rsidRPr="001D75DB" w:rsidRDefault="00D41B34" w:rsidP="00D41B34">
      <w:r w:rsidRPr="001D75DB">
        <w:t xml:space="preserve">Z2.B  OZNACZANIE WSKAŹNIKA ZAGĘSZCZENIA </w:t>
      </w:r>
    </w:p>
    <w:p w14:paraId="703B8441" w14:textId="77777777" w:rsidR="00D41B34" w:rsidRPr="001D75DB" w:rsidRDefault="00D41B34" w:rsidP="00D41B34">
      <w:r w:rsidRPr="001D75DB">
        <w:t xml:space="preserve">Procedura oznaczania wskaźnika zagęszczenia </w:t>
      </w:r>
      <w:proofErr w:type="spellStart"/>
      <w:r w:rsidRPr="001D75DB">
        <w:t>Is</w:t>
      </w:r>
      <w:proofErr w:type="spellEnd"/>
      <w:r w:rsidRPr="001D75DB">
        <w:t xml:space="preserve"> zawarta jest w normie BN-77/8931-12. Maksymalną gęstość objętościową szkieletu należy określić według procedury wskazanej  w załączniku Z2.A. </w:t>
      </w:r>
    </w:p>
    <w:p w14:paraId="364D939F" w14:textId="77777777" w:rsidR="00D41B34" w:rsidRPr="001D75DB" w:rsidRDefault="00D41B34" w:rsidP="00D41B34">
      <w:r w:rsidRPr="001D75DB">
        <w:t xml:space="preserve"> </w:t>
      </w:r>
    </w:p>
    <w:p w14:paraId="592504B7" w14:textId="77777777" w:rsidR="00D41B34" w:rsidRPr="001D75DB" w:rsidRDefault="00D41B34" w:rsidP="00D41B34">
      <w:r w:rsidRPr="001D75DB">
        <w:t xml:space="preserve">Z2.C  OZNACZANIE MODUŁU ODKSZTAŁCENIA PODŁOŻA PRZEZ OBCIĄŻENIE PŁYTĄ (POD OBCIĄŻENIEM STATYCZNYM) </w:t>
      </w:r>
    </w:p>
    <w:p w14:paraId="7C32C508" w14:textId="77777777" w:rsidR="00D41B34" w:rsidRPr="001D75DB" w:rsidRDefault="00D41B34" w:rsidP="00D41B34">
      <w:r w:rsidRPr="001D75DB">
        <w:t xml:space="preserve">Procedura oznaczania modułu odkształcenia podłoża z zastosowaniem płyty obciążonej statycznie zawarta jest w załączniku B do normy PN-S-02205:1988. </w:t>
      </w:r>
    </w:p>
    <w:p w14:paraId="42BDBAF8"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3BA87B3" w14:textId="77777777" w:rsidR="00D41B34" w:rsidRPr="001D75DB" w:rsidRDefault="00D41B34" w:rsidP="00D41B34">
      <w:r w:rsidRPr="001D75DB">
        <w:t xml:space="preserve"> </w:t>
      </w:r>
    </w:p>
    <w:p w14:paraId="25F49C12" w14:textId="77777777" w:rsidR="00D41B34" w:rsidRPr="001D75DB" w:rsidRDefault="00D41B34" w:rsidP="00D41B34">
      <w:r w:rsidRPr="001D75DB">
        <w:t xml:space="preserve">Z2.D  OZNACZANIE MODUŁU ODKSZTAŁCENIA PODŁOŻA POD OBCIĄŻENIEM DYNAMICZNYM LEKKĄ PŁYTĄ (LPD). </w:t>
      </w:r>
    </w:p>
    <w:p w14:paraId="3414214D" w14:textId="77777777" w:rsidR="00D41B34" w:rsidRPr="001D75DB" w:rsidRDefault="00D41B34" w:rsidP="00D41B34">
      <w:r w:rsidRPr="001D75DB">
        <w:t xml:space="preserve">Badanie Lekką Płytą Dynamiczną (LPD) można stosować wyłącznie w kontroli warstw wykonanych z gruntów i materiałów niespoistych. Należy stosować płytę  </w:t>
      </w:r>
    </w:p>
    <w:p w14:paraId="034E5ABF" w14:textId="77777777" w:rsidR="00D41B34" w:rsidRPr="001D75DB" w:rsidRDefault="00D41B34" w:rsidP="00D41B34">
      <w:r w:rsidRPr="001D75DB">
        <w:t xml:space="preserve">o średnicy 30 cm. Stosowanie płyty o innej średnicy jest możliwe pod warunkiem spełnienia warunków określonych w punkcie 6.1.3. niniejszych </w:t>
      </w:r>
      <w:proofErr w:type="spellStart"/>
      <w:r w:rsidRPr="001D75DB">
        <w:t>STWiORB</w:t>
      </w:r>
      <w:proofErr w:type="spellEnd"/>
      <w:r w:rsidRPr="001D75DB">
        <w:t xml:space="preserve">. </w:t>
      </w:r>
    </w:p>
    <w:p w14:paraId="6FFC07B5" w14:textId="77777777" w:rsidR="00D41B34" w:rsidRPr="001D75DB" w:rsidRDefault="00D41B34" w:rsidP="00D41B34">
      <w:r w:rsidRPr="001D75DB">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32C09F0C" w14:textId="77777777" w:rsidR="00D41B34" w:rsidRPr="001D75DB" w:rsidRDefault="00D41B34" w:rsidP="00D41B34">
      <w:r w:rsidRPr="001D75DB">
        <w:t xml:space="preserve">Oznaczenie modułu odkształcenia odnosi się do nośności warstwy w chwili przeprowadzenia badania. Wartość modułu można uznać za miarodajną w odniesieniu do kryteriów określonych  w </w:t>
      </w:r>
      <w:proofErr w:type="spellStart"/>
      <w:r w:rsidRPr="001D75DB">
        <w:t>STWiORB</w:t>
      </w:r>
      <w:proofErr w:type="spellEnd"/>
      <w:r w:rsidRPr="001D75DB">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22A25652" w14:textId="77777777" w:rsidR="00D41B34" w:rsidRPr="001D75DB" w:rsidRDefault="00D41B34" w:rsidP="00D41B34">
      <w:r w:rsidRPr="001D75DB">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48D63BCA" w14:textId="77777777" w:rsidR="00D41B34" w:rsidRPr="001D75DB" w:rsidRDefault="00D41B34" w:rsidP="00D41B34">
      <w:r w:rsidRPr="001D75DB">
        <w:t xml:space="preserve">Badanie LPD może być wykorzystane jako pośrednia metoda oceny zagęszczenia i/lub nośności warstwy na podstawie zaakceptowanych przez Inżyniera/Inspektora nadzoru  korelacji wartości dynamicznego modułu odkształcenia </w:t>
      </w:r>
      <w:proofErr w:type="spellStart"/>
      <w:r w:rsidRPr="001D75DB">
        <w:t>Evd</w:t>
      </w:r>
      <w:proofErr w:type="spellEnd"/>
      <w:r w:rsidRPr="001D75DB">
        <w:t xml:space="preserve"> z wartościami wskaźnika zagęszczenia </w:t>
      </w:r>
      <w:proofErr w:type="spellStart"/>
      <w:r w:rsidRPr="001D75DB">
        <w:t>Is</w:t>
      </w:r>
      <w:proofErr w:type="spellEnd"/>
      <w:r w:rsidRPr="001D75DB">
        <w:t xml:space="preserve"> i/lub wtórnego modułu odkształcenia E2 </w:t>
      </w:r>
    </w:p>
    <w:p w14:paraId="5DC09078" w14:textId="77777777" w:rsidR="00D41B34" w:rsidRPr="001D75DB" w:rsidRDefault="00D41B34" w:rsidP="00D41B34">
      <w:r w:rsidRPr="001D75DB">
        <w:t xml:space="preserve"> </w:t>
      </w:r>
    </w:p>
    <w:p w14:paraId="3F732E80" w14:textId="77777777" w:rsidR="00D41B34" w:rsidRPr="001D75DB" w:rsidRDefault="00D41B34" w:rsidP="00D41B34">
      <w:r w:rsidRPr="001D75DB">
        <w:lastRenderedPageBreak/>
        <w:t xml:space="preserve">Z2.E  OZNACZANIE WSKAŹNIKA NOŚNOŚCI CBR I PĘCZNIENIA LINIOWEGO </w:t>
      </w:r>
    </w:p>
    <w:p w14:paraId="40CBB559" w14:textId="77777777" w:rsidR="00D41B34" w:rsidRPr="001D75DB" w:rsidRDefault="00D41B34" w:rsidP="00D41B34">
      <w:r w:rsidRPr="001D75DB">
        <w:t xml:space="preserve">Procedura badania wskaźnika nośności CBR i pęcznienia liniowego gruntów zawarta jest  w załączniku A do normy PN-S-02205:1988. </w:t>
      </w:r>
    </w:p>
    <w:p w14:paraId="61F8F0CB" w14:textId="77777777" w:rsidR="00D41B34" w:rsidRPr="001D75DB" w:rsidRDefault="00D41B34" w:rsidP="00D41B34">
      <w:r w:rsidRPr="001D75DB">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263A974E" w14:textId="77777777" w:rsidR="00D41B34" w:rsidRPr="001D75DB" w:rsidRDefault="00D41B34" w:rsidP="00D41B34">
      <w:r w:rsidRPr="001D75DB">
        <w:t xml:space="preserve"> </w:t>
      </w:r>
    </w:p>
    <w:p w14:paraId="30CB52F8" w14:textId="77777777" w:rsidR="00D41B34" w:rsidRPr="001D75DB" w:rsidRDefault="00D41B34" w:rsidP="00D41B34">
      <w:r w:rsidRPr="001D75DB">
        <w:t xml:space="preserve">Z2.F  OZNACZANIE WSKAŹNIKA PIASKOWEGO </w:t>
      </w:r>
    </w:p>
    <w:p w14:paraId="033AC073" w14:textId="77777777" w:rsidR="00D41B34" w:rsidRPr="001D75DB" w:rsidRDefault="00D41B34" w:rsidP="00D41B34">
      <w:r w:rsidRPr="001D75DB">
        <w:t xml:space="preserve">Procedura oznaczenia oznaczania wskaźnika piaskowego gruntów WP zawarta jest w normie  BN-64/8931-01. </w:t>
      </w:r>
    </w:p>
    <w:p w14:paraId="7FF5B2C5" w14:textId="77777777" w:rsidR="00D41B34" w:rsidRPr="001D75DB" w:rsidRDefault="00D41B34" w:rsidP="00D41B34">
      <w:r w:rsidRPr="001D75DB">
        <w:t xml:space="preserve">Możliwe jest zastosowanie do gruntów badania wskaźnika piaskowego SE4 według normy PNEN 933-8, odnoszącej się do kruszyw, pod warunkiem określenia kryterium oceny wyniku oznaczenia dla nowej normy. </w:t>
      </w:r>
    </w:p>
    <w:p w14:paraId="0FD83C36" w14:textId="77777777" w:rsidR="00D41B34" w:rsidRPr="001D75DB" w:rsidRDefault="00D41B34" w:rsidP="00D41B34">
      <w:r w:rsidRPr="001D75DB">
        <w:t xml:space="preserve">Procedura oznaczenia wskaźnika piaskowego kruszyw (mieszanek kruszyw) zawarta jest  w normie PN-EN 933-8. Należy stosować badanie wskaźnika piaskowego SE4.  </w:t>
      </w:r>
    </w:p>
    <w:p w14:paraId="758AABC5" w14:textId="77777777" w:rsidR="00D41B34" w:rsidRPr="001D75DB" w:rsidRDefault="00D41B34" w:rsidP="00D41B34">
      <w:r w:rsidRPr="001D75DB">
        <w:t xml:space="preserve"> </w:t>
      </w:r>
    </w:p>
    <w:p w14:paraId="63ECA1B2" w14:textId="77777777" w:rsidR="00D41B34" w:rsidRPr="001D75DB" w:rsidRDefault="00D41B34" w:rsidP="00D41B34">
      <w:r w:rsidRPr="001D75DB">
        <w:t xml:space="preserve">Z2.G  OZNACZANIE WILGOTNOŚCI </w:t>
      </w:r>
    </w:p>
    <w:p w14:paraId="080410B2" w14:textId="77777777" w:rsidR="00D41B34" w:rsidRPr="001D75DB" w:rsidRDefault="00D41B34" w:rsidP="00D41B34">
      <w:r w:rsidRPr="001D75DB">
        <w:t xml:space="preserve">Procedura oznaczenia wilgotności gruntów zawarta jest w normie PN-B-04481:1988 lub w PNEN ISO 17892-1. Procedura oznaczenia wilgotności mieszanek kruszyw zawarta jest w normie PN-EN 1097-5. </w:t>
      </w:r>
    </w:p>
    <w:p w14:paraId="1F0126C7" w14:textId="77777777" w:rsidR="00D41B34" w:rsidRPr="001D75DB" w:rsidRDefault="00D41B34" w:rsidP="00D41B34">
      <w:r w:rsidRPr="001D75DB">
        <w:t xml:space="preserve"> </w:t>
      </w:r>
    </w:p>
    <w:p w14:paraId="0A3956EB" w14:textId="77777777" w:rsidR="00D41B34" w:rsidRPr="001D75DB" w:rsidRDefault="00D41B34" w:rsidP="00D41B34">
      <w:r w:rsidRPr="001D75DB">
        <w:t xml:space="preserve">Z2.H  OZNACZANIE UZIARNIENIA </w:t>
      </w:r>
    </w:p>
    <w:p w14:paraId="54C838CE" w14:textId="77777777" w:rsidR="00D41B34" w:rsidRPr="001D75DB" w:rsidRDefault="00D41B34" w:rsidP="00D41B34">
      <w:r w:rsidRPr="001D75DB">
        <w:t xml:space="preserve">Procedura oznaczenia uziarnienia gruntów zawarta jest w normie PN-88/B-04481 lub w PN-EN ISO 17892-4. Procedura oznaczenia uziarnienia mieszanek kruszyw zawarta jest w normie PNEN 933-1. </w:t>
      </w:r>
    </w:p>
    <w:p w14:paraId="203822F6" w14:textId="77777777" w:rsidR="00D41B34" w:rsidRPr="001D75DB" w:rsidRDefault="00D41B34" w:rsidP="00D41B34">
      <w:r w:rsidRPr="001D75DB">
        <w:t xml:space="preserve"> </w:t>
      </w:r>
    </w:p>
    <w:p w14:paraId="24A1EEF7" w14:textId="77777777" w:rsidR="00D41B34" w:rsidRPr="001D75DB" w:rsidRDefault="00D41B34" w:rsidP="00D41B34">
      <w:r w:rsidRPr="001D75DB">
        <w:t xml:space="preserve">Z2.I OZNACZANIE GRANICY PLASTYCZNOŚCI WP I GRANICY PŁYNNOSCI WL.  </w:t>
      </w:r>
    </w:p>
    <w:p w14:paraId="73594B06" w14:textId="77777777" w:rsidR="00D41B34" w:rsidRPr="001D75DB" w:rsidRDefault="00D41B34" w:rsidP="00D41B34">
      <w:r w:rsidRPr="001D75DB">
        <w:t xml:space="preserve">Procedura oznaczenia granicy plastyczności WP i granicy płynności WL (granice </w:t>
      </w:r>
      <w:proofErr w:type="spellStart"/>
      <w:r w:rsidRPr="001D75DB">
        <w:t>Atterberga</w:t>
      </w:r>
      <w:proofErr w:type="spellEnd"/>
      <w:r w:rsidRPr="001D75DB">
        <w:t xml:space="preserve">) gruntów drobnoziarnistych (spoistych) jest określona w normie PN-B-04481:1988 lub w PN-EN ISO 17892-12.  </w:t>
      </w:r>
    </w:p>
    <w:p w14:paraId="43A02874" w14:textId="77777777" w:rsidR="00D41B34" w:rsidRPr="001D75DB" w:rsidRDefault="00D41B34" w:rsidP="00D41B34">
      <w:r w:rsidRPr="001D75DB">
        <w:t xml:space="preserve">Na podstawie wartości granicy plastyczności WP i granicy płynności WL określa się wskaźnik plastyczności IP = WL – WP, charakteryzujący plastyczność (spoistość) gruntu.  </w:t>
      </w:r>
    </w:p>
    <w:p w14:paraId="723CCCF8" w14:textId="77777777" w:rsidR="00D41B34" w:rsidRPr="001D75DB" w:rsidRDefault="00D41B34" w:rsidP="00D41B34">
      <w:r w:rsidRPr="001D75DB">
        <w:t xml:space="preserve">Z2.J  OZNACZANIE WSPÓŁCZYNNIKA FILTRACJI k </w:t>
      </w:r>
    </w:p>
    <w:p w14:paraId="21903657" w14:textId="77777777" w:rsidR="00D41B34" w:rsidRPr="001D75DB" w:rsidRDefault="00D41B34" w:rsidP="00D41B34">
      <w:r w:rsidRPr="001D75DB">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4815EFA" w14:textId="77777777" w:rsidR="00D41B34" w:rsidRPr="001D75DB" w:rsidRDefault="00D41B34" w:rsidP="00D41B34">
      <w:r w:rsidRPr="001D75DB">
        <w:t xml:space="preserve">Dopuszcza się pośrednią metodę oceny właściwości filtracyjnych gruntów gruboziarnistych  (wg klasyfikacji PN-EN ISO 14688-2) na podstawie obliczenia współczynnika filtracji k  z zastosowaniem wzoru amerykańskiego USBSC: </w:t>
      </w:r>
    </w:p>
    <w:p w14:paraId="62257F93" w14:textId="77777777" w:rsidR="00D41B34" w:rsidRPr="001D75DB" w:rsidRDefault="00D41B34" w:rsidP="00D41B34">
      <w:pPr>
        <w:spacing w:after="179" w:line="259" w:lineRule="auto"/>
        <w:ind w:left="659" w:right="723"/>
        <w:jc w:val="center"/>
      </w:pPr>
      <w:r w:rsidRPr="001D75DB">
        <w:t>k = 0,0036 x d</w:t>
      </w:r>
      <w:r w:rsidRPr="001D75DB">
        <w:rPr>
          <w:vertAlign w:val="subscript"/>
        </w:rPr>
        <w:t>20</w:t>
      </w:r>
      <w:r w:rsidRPr="001D75DB">
        <w:rPr>
          <w:vertAlign w:val="superscript"/>
        </w:rPr>
        <w:t>2,3</w:t>
      </w:r>
      <w:r w:rsidRPr="001D75DB">
        <w:t xml:space="preserve"> </w:t>
      </w:r>
    </w:p>
    <w:p w14:paraId="539C13AD" w14:textId="77777777" w:rsidR="00D41B34" w:rsidRPr="001D75DB" w:rsidRDefault="00D41B34" w:rsidP="00D41B34">
      <w:r w:rsidRPr="001D75DB">
        <w:t xml:space="preserve">gdzie:  </w:t>
      </w:r>
    </w:p>
    <w:p w14:paraId="25ABB58E" w14:textId="77777777" w:rsidR="00D41B34" w:rsidRPr="001D75DB" w:rsidRDefault="00D41B34" w:rsidP="00D41B34">
      <w:r w:rsidRPr="001D75DB">
        <w:t xml:space="preserve">k  współczynnik filtracji [m/s] </w:t>
      </w:r>
    </w:p>
    <w:p w14:paraId="4760DD08" w14:textId="77777777" w:rsidR="00D41B34" w:rsidRPr="001D75DB" w:rsidRDefault="00D41B34" w:rsidP="00D41B34">
      <w:r w:rsidRPr="001D75DB">
        <w:t xml:space="preserve">d20  średnica zastępcza [mm], odpowiadająca zawartości 20% ziaren na krzywej uziarnienia gruntu.  </w:t>
      </w:r>
    </w:p>
    <w:p w14:paraId="6A0C4A94" w14:textId="77777777" w:rsidR="00D41B34" w:rsidRPr="001D75DB" w:rsidRDefault="00D41B34" w:rsidP="00D41B34">
      <w:r w:rsidRPr="001D75DB">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74960553" w14:textId="77777777" w:rsidR="00D41B34" w:rsidRPr="001D75DB" w:rsidRDefault="00D41B34" w:rsidP="00D41B34">
      <w:r w:rsidRPr="001D75DB">
        <w:t xml:space="preserve"> </w:t>
      </w:r>
    </w:p>
    <w:p w14:paraId="3A574121" w14:textId="77777777" w:rsidR="00D41B34" w:rsidRPr="001D75DB" w:rsidRDefault="00D41B34" w:rsidP="00D41B34">
      <w:r w:rsidRPr="001D75DB">
        <w:t xml:space="preserve">Z2.K OZNACZANIE ZAWARTOŚCI SUBSTANCJI ORGANICZNYCH  </w:t>
      </w:r>
    </w:p>
    <w:p w14:paraId="406A721E" w14:textId="77777777" w:rsidR="00D41B34" w:rsidRPr="001D75DB" w:rsidRDefault="00D41B34" w:rsidP="00D41B34">
      <w:r w:rsidRPr="001D75DB">
        <w:t xml:space="preserve">Procedura oznaczenia zawartości substancji organicznych zawarta jest w normie PN-B04481:1988 lub w normie PN-EN 1744-1. Metodą referencyjną jest procedura zawarta  w normie PN-B-04481:1988 </w:t>
      </w:r>
    </w:p>
    <w:p w14:paraId="4EA8CEA7" w14:textId="77777777" w:rsidR="00D41B34" w:rsidRPr="001D75DB" w:rsidRDefault="00D41B34" w:rsidP="00D41B34">
      <w:r w:rsidRPr="001D75DB">
        <w:t xml:space="preserve"> </w:t>
      </w:r>
    </w:p>
    <w:p w14:paraId="3D0CA9C5" w14:textId="77777777" w:rsidR="00D41B34" w:rsidRPr="001D75DB" w:rsidRDefault="00D41B34" w:rsidP="00D41B34">
      <w:r w:rsidRPr="001D75DB">
        <w:t xml:space="preserve">Z2.L POŚREDNIE OZNACZANIE WSKAŹNIKA ZAGĘSZCZENIA NA PODSTAWIE STOPNIA ZAGĘSZCZENIA OKREŚLONEGO W BADANIU SONDĄ DYNAMICZNĄ  </w:t>
      </w:r>
    </w:p>
    <w:p w14:paraId="29D9C0E3" w14:textId="77777777" w:rsidR="00D41B34" w:rsidRPr="001D75DB" w:rsidRDefault="00D41B34" w:rsidP="00D41B34">
      <w:r w:rsidRPr="001D75DB">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21C98189" w14:textId="77777777" w:rsidR="00D41B34" w:rsidRPr="001D75DB" w:rsidRDefault="00D41B34" w:rsidP="00D41B34">
      <w:pPr>
        <w:spacing w:line="259" w:lineRule="auto"/>
        <w:ind w:left="409" w:right="65"/>
        <w:jc w:val="center"/>
      </w:pPr>
      <w:r w:rsidRPr="001D75DB">
        <w:rPr>
          <w:rFonts w:ascii="Cambria Math" w:eastAsia="Cambria Math" w:hAnsi="Cambria Math" w:cs="Cambria Math"/>
        </w:rPr>
        <w:t>0,818</w:t>
      </w:r>
    </w:p>
    <w:p w14:paraId="4A7B19AB" w14:textId="51B226AE" w:rsidR="00D41B34" w:rsidRPr="001D75DB" w:rsidRDefault="00D41B34" w:rsidP="00D41B34">
      <w:pPr>
        <w:spacing w:line="259" w:lineRule="auto"/>
        <w:ind w:left="409" w:right="403"/>
        <w:jc w:val="center"/>
      </w:pPr>
      <w:r w:rsidRPr="001D75DB">
        <w:rPr>
          <w:rFonts w:ascii="Cambria Math" w:eastAsia="Cambria Math" w:hAnsi="Cambria Math" w:cs="Cambria Math"/>
        </w:rPr>
        <w:t>𝐼</w:t>
      </w:r>
      <w:r w:rsidRPr="001D75DB">
        <w:rPr>
          <w:rFonts w:ascii="Cambria Math" w:eastAsia="Cambria Math" w:hAnsi="Cambria Math" w:cs="Cambria Math"/>
          <w:vertAlign w:val="subscript"/>
        </w:rPr>
        <w:t xml:space="preserve">𝑆 </w:t>
      </w:r>
      <w:r w:rsidRPr="001D75DB">
        <w:rPr>
          <w:rFonts w:ascii="Cambria Math" w:eastAsia="Cambria Math" w:hAnsi="Cambria Math" w:cs="Cambria Math"/>
        </w:rPr>
        <w:t xml:space="preserve">= </w:t>
      </w:r>
      <w:r w:rsidRPr="001D75DB">
        <w:rPr>
          <w:noProof/>
        </w:rPr>
        <mc:AlternateContent>
          <mc:Choice Requires="wpg">
            <w:drawing>
              <wp:inline distT="0" distB="0" distL="0" distR="0" wp14:anchorId="708BB989" wp14:editId="1D0B330C">
                <wp:extent cx="905510" cy="7620"/>
                <wp:effectExtent l="0" t="0" r="0" b="0"/>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77B91E4" id="Grupa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rsidRPr="001D75DB">
        <w:t xml:space="preserve"> </w:t>
      </w:r>
    </w:p>
    <w:p w14:paraId="6F949819" w14:textId="77777777" w:rsidR="00D41B34" w:rsidRPr="001D75DB" w:rsidRDefault="00D41B34" w:rsidP="00D41B34">
      <w:pPr>
        <w:spacing w:after="166" w:line="259" w:lineRule="auto"/>
        <w:ind w:left="409" w:right="78"/>
        <w:jc w:val="center"/>
      </w:pPr>
      <w:r w:rsidRPr="001D75DB">
        <w:rPr>
          <w:rFonts w:ascii="Cambria Math" w:eastAsia="Cambria Math" w:hAnsi="Cambria Math" w:cs="Cambria Math"/>
        </w:rPr>
        <w:t>0,958 − 0,174 𝐼</w:t>
      </w:r>
      <w:r w:rsidRPr="001D75DB">
        <w:rPr>
          <w:rFonts w:ascii="Cambria Math" w:eastAsia="Cambria Math" w:hAnsi="Cambria Math" w:cs="Cambria Math"/>
          <w:vertAlign w:val="subscript"/>
        </w:rPr>
        <w:t>𝐷</w:t>
      </w:r>
    </w:p>
    <w:p w14:paraId="329BF543" w14:textId="77777777" w:rsidR="00D41B34" w:rsidRPr="001D75DB" w:rsidRDefault="00D41B34" w:rsidP="00D41B34">
      <w:r w:rsidRPr="001D75DB">
        <w:t xml:space="preserve">gdzie: </w:t>
      </w:r>
    </w:p>
    <w:p w14:paraId="241CE0AF" w14:textId="77777777" w:rsidR="00D41B34" w:rsidRPr="001D75DB" w:rsidRDefault="00D41B34" w:rsidP="00D41B34">
      <w:r w:rsidRPr="001D75DB">
        <w:t xml:space="preserve">ID stopień zagęszczenia gruntów niespoistych wyznaczony w oparciu o liczbę uderzeń młota (NK) potrzebną do zagłębienia końcówki o 0,1 m (sondy DPL, DPM), 0,2 m (DPSH)  na podstawie wzorów: </w:t>
      </w:r>
    </w:p>
    <w:p w14:paraId="02E46F25" w14:textId="77777777" w:rsidR="00D41B34" w:rsidRPr="001D75DB" w:rsidRDefault="00D41B34" w:rsidP="00D41B34">
      <w:r w:rsidRPr="001D75DB">
        <w:t xml:space="preserve"> DPL  ID = 0,071+0,429 </w:t>
      </w:r>
      <w:proofErr w:type="spellStart"/>
      <w:r w:rsidRPr="001D75DB">
        <w:t>lg</w:t>
      </w:r>
      <w:proofErr w:type="spellEnd"/>
      <w:r w:rsidRPr="001D75DB">
        <w:t xml:space="preserve"> NK </w:t>
      </w:r>
    </w:p>
    <w:p w14:paraId="1088A28E" w14:textId="77777777" w:rsidR="00D41B34" w:rsidRPr="001D75DB" w:rsidRDefault="00D41B34" w:rsidP="00D41B34">
      <w:r w:rsidRPr="001D75DB">
        <w:t xml:space="preserve">DPM  ID = 0,176+0,431 </w:t>
      </w:r>
      <w:proofErr w:type="spellStart"/>
      <w:r w:rsidRPr="001D75DB">
        <w:t>lg</w:t>
      </w:r>
      <w:proofErr w:type="spellEnd"/>
      <w:r w:rsidRPr="001D75DB">
        <w:t xml:space="preserve"> NK  </w:t>
      </w:r>
    </w:p>
    <w:p w14:paraId="64D0D955" w14:textId="77777777" w:rsidR="00D41B34" w:rsidRPr="001D75DB" w:rsidRDefault="00D41B34" w:rsidP="00D41B34">
      <w:r w:rsidRPr="001D75DB">
        <w:t xml:space="preserve">DPH  ID = 0,271+0,441 </w:t>
      </w:r>
      <w:proofErr w:type="spellStart"/>
      <w:r w:rsidRPr="001D75DB">
        <w:t>lg</w:t>
      </w:r>
      <w:proofErr w:type="spellEnd"/>
      <w:r w:rsidRPr="001D75DB">
        <w:t xml:space="preserve"> NK </w:t>
      </w:r>
    </w:p>
    <w:p w14:paraId="3B2E881E" w14:textId="77777777" w:rsidR="00D41B34" w:rsidRPr="001D75DB" w:rsidRDefault="00D41B34" w:rsidP="00D41B34">
      <w:r w:rsidRPr="001D75DB">
        <w:t xml:space="preserve">DPSH  ID = 0,196+0,441 </w:t>
      </w:r>
      <w:proofErr w:type="spellStart"/>
      <w:r w:rsidRPr="001D75DB">
        <w:t>lg</w:t>
      </w:r>
      <w:proofErr w:type="spellEnd"/>
      <w:r w:rsidRPr="001D75DB">
        <w:t xml:space="preserve"> NK </w:t>
      </w:r>
    </w:p>
    <w:p w14:paraId="0328B281" w14:textId="77777777" w:rsidR="00D41B34" w:rsidRPr="001D75DB" w:rsidRDefault="00D41B34" w:rsidP="00D41B34">
      <w:r w:rsidRPr="001D75DB">
        <w:lastRenderedPageBreak/>
        <w:t xml:space="preserve"> </w:t>
      </w:r>
    </w:p>
    <w:p w14:paraId="4B54BCE7" w14:textId="77777777" w:rsidR="00D41B34" w:rsidRPr="00D562BB" w:rsidRDefault="00D41B34" w:rsidP="00D41B34">
      <w:r w:rsidRPr="001D75DB">
        <w:t>Wyniki sondowania należy interpretować dopiero poniżej głębokości krytycznej (</w:t>
      </w:r>
      <w:proofErr w:type="spellStart"/>
      <w:r w:rsidRPr="001D75DB">
        <w:t>tc</w:t>
      </w:r>
      <w:proofErr w:type="spellEnd"/>
      <w:r w:rsidRPr="001D75DB">
        <w:t xml:space="preserve">) wynoszącej dla sondy DPL </w:t>
      </w:r>
      <w:proofErr w:type="spellStart"/>
      <w:r w:rsidRPr="001D75DB">
        <w:t>tc</w:t>
      </w:r>
      <w:proofErr w:type="spellEnd"/>
      <w:r w:rsidRPr="001D75DB">
        <w:t xml:space="preserve">=0,6 m, dla sond DPM oraz DPH </w:t>
      </w:r>
      <w:proofErr w:type="spellStart"/>
      <w:r w:rsidRPr="001D75DB">
        <w:t>tc</w:t>
      </w:r>
      <w:proofErr w:type="spellEnd"/>
      <w:r w:rsidRPr="001D75DB">
        <w:t xml:space="preserve">=1,0 m, dla sondy DPSH </w:t>
      </w:r>
      <w:proofErr w:type="spellStart"/>
      <w:r w:rsidRPr="001D75DB">
        <w:t>tc</w:t>
      </w:r>
      <w:proofErr w:type="spellEnd"/>
      <w:r w:rsidRPr="001D75DB">
        <w:t>=1,5 m.</w:t>
      </w:r>
    </w:p>
    <w:p w14:paraId="706D18CB" w14:textId="77777777" w:rsidR="00D41B34" w:rsidRDefault="00D41B34">
      <w:pPr>
        <w:pBdr>
          <w:top w:val="nil"/>
          <w:left w:val="nil"/>
          <w:bottom w:val="nil"/>
          <w:right w:val="nil"/>
          <w:between w:val="nil"/>
        </w:pBdr>
        <w:ind w:firstLine="709"/>
        <w:jc w:val="both"/>
        <w:rPr>
          <w:rFonts w:ascii="Arial Narrow" w:eastAsia="Arial Narrow" w:hAnsi="Arial Narrow" w:cs="Arial Narrow"/>
          <w:color w:val="000000"/>
        </w:rPr>
      </w:pPr>
    </w:p>
    <w:p w14:paraId="2B37CE86" w14:textId="77777777" w:rsidR="005E6514" w:rsidRDefault="005E6514" w:rsidP="00DF7676">
      <w:pPr>
        <w:pBdr>
          <w:top w:val="nil"/>
          <w:left w:val="nil"/>
          <w:bottom w:val="nil"/>
          <w:right w:val="nil"/>
          <w:between w:val="nil"/>
        </w:pBdr>
        <w:rPr>
          <w:rFonts w:ascii="Arial Narrow" w:eastAsia="Arial Narrow" w:hAnsi="Arial Narrow" w:cs="Arial Narrow"/>
          <w:b/>
          <w:color w:val="000000"/>
          <w:sz w:val="28"/>
          <w:szCs w:val="28"/>
        </w:rPr>
      </w:pPr>
      <w:bookmarkStart w:id="47" w:name="_nmf14n" w:colFirst="0" w:colLast="0"/>
      <w:bookmarkEnd w:id="47"/>
    </w:p>
    <w:sectPr w:rsidR="005E6514">
      <w:headerReference w:type="default" r:id="rId16"/>
      <w:footerReference w:type="even" r:id="rId17"/>
      <w:footerReference w:type="default" r:id="rId18"/>
      <w:pgSz w:w="11907" w:h="16840"/>
      <w:pgMar w:top="1134" w:right="992" w:bottom="1134" w:left="1247" w:header="851" w:footer="89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470DE" w14:textId="77777777" w:rsidR="00291765" w:rsidRDefault="00291765">
      <w:r>
        <w:separator/>
      </w:r>
    </w:p>
  </w:endnote>
  <w:endnote w:type="continuationSeparator" w:id="0">
    <w:p w14:paraId="554E2B19" w14:textId="77777777" w:rsidR="00291765" w:rsidRDefault="0029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Quattrocento Sans">
    <w:altName w:val="Times New Roman"/>
    <w:charset w:val="00"/>
    <w:family w:val="swiss"/>
    <w:pitch w:val="variable"/>
    <w:sig w:usb0="800000BF" w:usb1="4000005B"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856A" w14:textId="77777777" w:rsidR="005E6514" w:rsidRDefault="005E6514">
    <w:pPr>
      <w:pBdr>
        <w:top w:val="nil"/>
        <w:left w:val="nil"/>
        <w:bottom w:val="nil"/>
        <w:right w:val="nil"/>
        <w:between w:val="nil"/>
      </w:pBdr>
      <w:tabs>
        <w:tab w:val="center" w:pos="4536"/>
        <w:tab w:val="right" w:pos="9072"/>
      </w:tabs>
      <w:ind w:right="360" w:firstLine="709"/>
      <w:jc w:val="both"/>
      <w:rPr>
        <w:rFonts w:ascii="Arial Narrow" w:eastAsia="Arial Narrow" w:hAnsi="Arial Narrow" w:cs="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366B3" w14:textId="524223FE" w:rsidR="005E6514" w:rsidRDefault="00A66738">
    <w:pPr>
      <w:pBdr>
        <w:top w:val="single" w:sz="4" w:space="1" w:color="000000"/>
        <w:left w:val="nil"/>
        <w:bottom w:val="nil"/>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tab/>
    </w:r>
    <w:r>
      <w:rPr>
        <w:rFonts w:ascii="Arial Narrow" w:eastAsia="Arial Narrow" w:hAnsi="Arial Narrow" w:cs="Arial Narrow"/>
        <w:color w:val="000000"/>
      </w:rPr>
      <w:fldChar w:fldCharType="begin"/>
    </w:r>
    <w:r>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5378D1">
      <w:rPr>
        <w:rFonts w:ascii="Arial Narrow" w:eastAsia="Arial Narrow" w:hAnsi="Arial Narrow" w:cs="Arial Narrow"/>
        <w:noProof/>
        <w:color w:val="000000"/>
      </w:rPr>
      <w:t>9</w:t>
    </w:r>
    <w:r>
      <w:rPr>
        <w:rFonts w:ascii="Arial Narrow" w:eastAsia="Arial Narrow" w:hAnsi="Arial Narrow" w:cs="Arial Narrow"/>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5713C" w14:textId="77777777" w:rsidR="00291765" w:rsidRDefault="00291765">
      <w:r>
        <w:separator/>
      </w:r>
    </w:p>
  </w:footnote>
  <w:footnote w:type="continuationSeparator" w:id="0">
    <w:p w14:paraId="4D474F02" w14:textId="77777777" w:rsidR="00291765" w:rsidRDefault="00291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077F" w14:textId="77777777" w:rsidR="005E6514" w:rsidRDefault="00A66738">
    <w:pPr>
      <w:pBdr>
        <w:top w:val="nil"/>
        <w:left w:val="nil"/>
        <w:bottom w:val="single" w:sz="4" w:space="1" w:color="000000"/>
        <w:right w:val="nil"/>
        <w:between w:val="nil"/>
      </w:pBdr>
      <w:tabs>
        <w:tab w:val="center" w:pos="4536"/>
        <w:tab w:val="right" w:pos="9072"/>
      </w:tabs>
      <w:jc w:val="both"/>
      <w:rPr>
        <w:rFonts w:ascii="Arial Narrow" w:eastAsia="Arial Narrow" w:hAnsi="Arial Narrow" w:cs="Arial Narrow"/>
        <w:color w:val="000000"/>
      </w:rPr>
    </w:pPr>
    <w:r>
      <w:rPr>
        <w:rFonts w:ascii="Arial Narrow" w:eastAsia="Arial Narrow" w:hAnsi="Arial Narrow" w:cs="Arial Narrow"/>
        <w:b/>
        <w:color w:val="000000"/>
        <w:sz w:val="28"/>
        <w:szCs w:val="28"/>
      </w:rPr>
      <w:t xml:space="preserve">D – 02.02.01 WYKONANIE </w:t>
    </w:r>
    <w:r w:rsidR="007E1D1E">
      <w:rPr>
        <w:rFonts w:ascii="Arial Narrow" w:eastAsia="Arial Narrow" w:hAnsi="Arial Narrow" w:cs="Arial Narrow"/>
        <w:b/>
        <w:color w:val="000000"/>
        <w:sz w:val="28"/>
        <w:szCs w:val="28"/>
      </w:rPr>
      <w:t xml:space="preserve">NASYPÓW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26FB"/>
    <w:multiLevelType w:val="multilevel"/>
    <w:tmpl w:val="4BFC6046"/>
    <w:lvl w:ilvl="0">
      <w:start w:val="1"/>
      <w:numFmt w:val="decimal"/>
      <w:lvlText w:val="%1."/>
      <w:lvlJc w:val="left"/>
      <w:pPr>
        <w:ind w:left="564" w:hanging="56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3" w:hanging="1253"/>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3" w:hanging="1973"/>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3" w:hanging="2693"/>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3" w:hanging="3413"/>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3" w:hanging="4133"/>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3" w:hanging="4853"/>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3" w:hanging="5573"/>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3" w:hanging="6293"/>
      </w:pPr>
      <w:rPr>
        <w:rFonts w:ascii="Verdana" w:eastAsia="Verdana" w:hAnsi="Verdana" w:cs="Verdana"/>
        <w:b w:val="0"/>
        <w:i w:val="0"/>
        <w:strike w:val="0"/>
        <w:color w:val="000000"/>
        <w:sz w:val="20"/>
        <w:szCs w:val="20"/>
        <w:u w:val="none"/>
        <w:shd w:val="clear" w:color="auto" w:fill="auto"/>
        <w:vertAlign w:val="baseline"/>
      </w:rPr>
    </w:lvl>
  </w:abstractNum>
  <w:abstractNum w:abstractNumId="1" w15:restartNumberingAfterBreak="0">
    <w:nsid w:val="064B28C3"/>
    <w:multiLevelType w:val="multilevel"/>
    <w:tmpl w:val="D5B4E57C"/>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 w15:restartNumberingAfterBreak="0">
    <w:nsid w:val="0A43584C"/>
    <w:multiLevelType w:val="multilevel"/>
    <w:tmpl w:val="2CB21E66"/>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3" w15:restartNumberingAfterBreak="0">
    <w:nsid w:val="0BAD2109"/>
    <w:multiLevelType w:val="multilevel"/>
    <w:tmpl w:val="1DBC305A"/>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4" w15:restartNumberingAfterBreak="0">
    <w:nsid w:val="13FE3E1B"/>
    <w:multiLevelType w:val="multilevel"/>
    <w:tmpl w:val="C44AE1A2"/>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5" w15:restartNumberingAfterBreak="0">
    <w:nsid w:val="156D1CC4"/>
    <w:multiLevelType w:val="multilevel"/>
    <w:tmpl w:val="8B84CABE"/>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50" w:hanging="145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70" w:hanging="217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90" w:hanging="289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10" w:hanging="361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30" w:hanging="433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50" w:hanging="505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70" w:hanging="577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90" w:hanging="649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6" w15:restartNumberingAfterBreak="0">
    <w:nsid w:val="159C27AD"/>
    <w:multiLevelType w:val="multilevel"/>
    <w:tmpl w:val="9CA28D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 w15:restartNumberingAfterBreak="0">
    <w:nsid w:val="1F693A03"/>
    <w:multiLevelType w:val="multilevel"/>
    <w:tmpl w:val="81AADC44"/>
    <w:lvl w:ilvl="0">
      <w:start w:val="1"/>
      <w:numFmt w:val="decimal"/>
      <w:lvlText w:val="%1)"/>
      <w:lvlJc w:val="left"/>
      <w:pPr>
        <w:ind w:left="175" w:hanging="175"/>
      </w:pPr>
      <w:rPr>
        <w:rFonts w:ascii="Verdana" w:eastAsia="Verdana" w:hAnsi="Verdana" w:cs="Verdana"/>
        <w:b w:val="0"/>
        <w:i/>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16"/>
        <w:szCs w:val="16"/>
        <w:u w:val="none"/>
        <w:shd w:val="clear" w:color="auto" w:fill="auto"/>
        <w:vertAlign w:val="superscript"/>
      </w:rPr>
    </w:lvl>
  </w:abstractNum>
  <w:abstractNum w:abstractNumId="9" w15:restartNumberingAfterBreak="0">
    <w:nsid w:val="21614874"/>
    <w:multiLevelType w:val="multilevel"/>
    <w:tmpl w:val="B55AB71C"/>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0" w15:restartNumberingAfterBreak="0">
    <w:nsid w:val="24E35DC2"/>
    <w:multiLevelType w:val="multilevel"/>
    <w:tmpl w:val="545CD9DE"/>
    <w:lvl w:ilvl="0">
      <w:start w:val="2"/>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A9A129F"/>
    <w:multiLevelType w:val="multilevel"/>
    <w:tmpl w:val="42CC08BA"/>
    <w:lvl w:ilvl="0">
      <w:start w:val="4"/>
      <w:numFmt w:val="decimal"/>
      <w:lvlText w:val="%1)"/>
      <w:lvlJc w:val="left"/>
      <w:pPr>
        <w:ind w:left="146" w:hanging="146"/>
      </w:pPr>
      <w:rPr>
        <w:rFonts w:ascii="Times New Roman" w:eastAsia="Times New Roman" w:hAnsi="Times New Roman" w:cs="Times New Roman"/>
        <w:b w:val="0"/>
        <w:i w:val="0"/>
        <w:strike w:val="0"/>
        <w:color w:val="000000"/>
        <w:sz w:val="18"/>
        <w:szCs w:val="18"/>
        <w:u w:val="none"/>
        <w:shd w:val="clear" w:color="auto" w:fill="auto"/>
        <w:vertAlign w:val="superscript"/>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18"/>
        <w:szCs w:val="18"/>
        <w:u w:val="none"/>
        <w:shd w:val="clear" w:color="auto" w:fill="auto"/>
        <w:vertAlign w:val="superscript"/>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18"/>
        <w:szCs w:val="18"/>
        <w:u w:val="none"/>
        <w:shd w:val="clear" w:color="auto" w:fill="auto"/>
        <w:vertAlign w:val="superscript"/>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18"/>
        <w:szCs w:val="18"/>
        <w:u w:val="none"/>
        <w:shd w:val="clear" w:color="auto" w:fill="auto"/>
        <w:vertAlign w:val="superscript"/>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18"/>
        <w:szCs w:val="18"/>
        <w:u w:val="none"/>
        <w:shd w:val="clear" w:color="auto" w:fill="auto"/>
        <w:vertAlign w:val="superscript"/>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18"/>
        <w:szCs w:val="18"/>
        <w:u w:val="none"/>
        <w:shd w:val="clear" w:color="auto" w:fill="auto"/>
        <w:vertAlign w:val="superscript"/>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18"/>
        <w:szCs w:val="18"/>
        <w:u w:val="none"/>
        <w:shd w:val="clear" w:color="auto" w:fill="auto"/>
        <w:vertAlign w:val="superscript"/>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18"/>
        <w:szCs w:val="18"/>
        <w:u w:val="none"/>
        <w:shd w:val="clear" w:color="auto" w:fill="auto"/>
        <w:vertAlign w:val="superscript"/>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18"/>
        <w:szCs w:val="18"/>
        <w:u w:val="none"/>
        <w:shd w:val="clear" w:color="auto" w:fill="auto"/>
        <w:vertAlign w:val="superscript"/>
      </w:rPr>
    </w:lvl>
  </w:abstractNum>
  <w:abstractNum w:abstractNumId="12" w15:restartNumberingAfterBreak="0">
    <w:nsid w:val="2CB31021"/>
    <w:multiLevelType w:val="multilevel"/>
    <w:tmpl w:val="DFB269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DE67B0A"/>
    <w:multiLevelType w:val="multilevel"/>
    <w:tmpl w:val="EE98CBC8"/>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4" w15:restartNumberingAfterBreak="0">
    <w:nsid w:val="31B778C5"/>
    <w:multiLevelType w:val="multilevel"/>
    <w:tmpl w:val="E0A47A16"/>
    <w:lvl w:ilvl="0">
      <w:start w:val="1"/>
      <w:numFmt w:val="decimal"/>
      <w:lvlText w:val="5.7.5.%1. "/>
      <w:lvlJc w:val="left"/>
      <w:pPr>
        <w:ind w:left="283" w:hanging="283"/>
      </w:pPr>
      <w:rPr>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2593C2E"/>
    <w:multiLevelType w:val="multilevel"/>
    <w:tmpl w:val="0408270E"/>
    <w:lvl w:ilvl="0">
      <w:start w:val="1"/>
      <w:numFmt w:val="bullet"/>
      <w:lvlText w:val="•"/>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
      <w:lvlJc w:val="left"/>
      <w:pPr>
        <w:ind w:left="1521" w:hanging="1521"/>
      </w:pPr>
      <w:rPr>
        <w:rFonts w:ascii="Arial" w:eastAsia="Arial" w:hAnsi="Arial" w:cs="Arial"/>
        <w:b w:val="0"/>
        <w:i w:val="0"/>
        <w:strike w:val="0"/>
        <w:color w:val="000000"/>
        <w:sz w:val="20"/>
        <w:szCs w:val="20"/>
        <w:u w:val="none"/>
        <w:shd w:val="clear" w:color="auto" w:fill="auto"/>
        <w:vertAlign w:val="baseline"/>
      </w:rPr>
    </w:lvl>
    <w:lvl w:ilvl="2">
      <w:start w:val="1"/>
      <w:numFmt w:val="bullet"/>
      <w:lvlText w:val="▪"/>
      <w:lvlJc w:val="left"/>
      <w:pPr>
        <w:ind w:left="1788" w:hanging="17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228" w:hanging="322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3948" w:hanging="394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388" w:hanging="5388"/>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108" w:hanging="6108"/>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16" w15:restartNumberingAfterBreak="0">
    <w:nsid w:val="33377275"/>
    <w:multiLevelType w:val="multilevel"/>
    <w:tmpl w:val="8CC03A8C"/>
    <w:lvl w:ilvl="0">
      <w:start w:val="1"/>
      <w:numFmt w:val="upperRoman"/>
      <w:lvlText w:val="%1."/>
      <w:lvlJc w:val="left"/>
      <w:pPr>
        <w:ind w:left="1052" w:hanging="1052"/>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42" w:hanging="124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62" w:hanging="196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82" w:hanging="268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02" w:hanging="340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22" w:hanging="412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42" w:hanging="484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62" w:hanging="556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82" w:hanging="6282"/>
      </w:pPr>
      <w:rPr>
        <w:rFonts w:ascii="Verdana" w:eastAsia="Verdana" w:hAnsi="Verdana" w:cs="Verdana"/>
        <w:b w:val="0"/>
        <w:i w:val="0"/>
        <w:strike w:val="0"/>
        <w:color w:val="000000"/>
        <w:sz w:val="20"/>
        <w:szCs w:val="20"/>
        <w:u w:val="none"/>
        <w:shd w:val="clear" w:color="auto" w:fill="auto"/>
        <w:vertAlign w:val="baseline"/>
      </w:rPr>
    </w:lvl>
  </w:abstractNum>
  <w:abstractNum w:abstractNumId="17" w15:restartNumberingAfterBreak="0">
    <w:nsid w:val="35287233"/>
    <w:multiLevelType w:val="multilevel"/>
    <w:tmpl w:val="BF92C19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8" w15:restartNumberingAfterBreak="0">
    <w:nsid w:val="39DB411F"/>
    <w:multiLevelType w:val="multilevel"/>
    <w:tmpl w:val="062E7D48"/>
    <w:lvl w:ilvl="0">
      <w:start w:val="1"/>
      <w:numFmt w:val="bullet"/>
      <w:lvlText w:val="–"/>
      <w:lvlJc w:val="left"/>
      <w:pPr>
        <w:ind w:left="725" w:hanging="725"/>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38" w:hanging="1438"/>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58" w:hanging="2158"/>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78" w:hanging="2878"/>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598" w:hanging="3598"/>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18" w:hanging="4318"/>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38" w:hanging="5038"/>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58" w:hanging="5758"/>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78" w:hanging="647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19" w15:restartNumberingAfterBreak="0">
    <w:nsid w:val="3BE2052B"/>
    <w:multiLevelType w:val="multilevel"/>
    <w:tmpl w:val="E5FC9A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3D680F4B"/>
    <w:multiLevelType w:val="multilevel"/>
    <w:tmpl w:val="D99A892E"/>
    <w:lvl w:ilvl="0">
      <w:start w:val="1"/>
      <w:numFmt w:val="lowerLetter"/>
      <w:lvlText w:val="%1)"/>
      <w:lvlJc w:val="left"/>
      <w:pPr>
        <w:ind w:left="888" w:hanging="888"/>
      </w:pPr>
      <w:rPr>
        <w:rFonts w:ascii="Verdana" w:eastAsia="Verdana" w:hAnsi="Verdana" w:cs="Verdana"/>
        <w:b/>
        <w:i w:val="0"/>
        <w:strike w:val="0"/>
        <w:color w:val="000000"/>
        <w:sz w:val="20"/>
        <w:szCs w:val="20"/>
        <w:u w:val="none"/>
        <w:shd w:val="clear" w:color="auto" w:fill="auto"/>
        <w:vertAlign w:val="baseline"/>
      </w:rPr>
    </w:lvl>
    <w:lvl w:ilvl="1">
      <w:start w:val="1"/>
      <w:numFmt w:val="lowerLetter"/>
      <w:lvlText w:val="%2"/>
      <w:lvlJc w:val="left"/>
      <w:pPr>
        <w:ind w:left="1363" w:hanging="1363"/>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2083" w:hanging="208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2803" w:hanging="280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3523" w:hanging="352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4243" w:hanging="424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4963" w:hanging="496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5683" w:hanging="568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6403" w:hanging="6403"/>
      </w:pPr>
      <w:rPr>
        <w:rFonts w:ascii="Verdana" w:eastAsia="Verdana" w:hAnsi="Verdana" w:cs="Verdana"/>
        <w:b/>
        <w:i w:val="0"/>
        <w:strike w:val="0"/>
        <w:color w:val="000000"/>
        <w:sz w:val="20"/>
        <w:szCs w:val="20"/>
        <w:u w:val="none"/>
        <w:shd w:val="clear" w:color="auto" w:fill="auto"/>
        <w:vertAlign w:val="baseline"/>
      </w:rPr>
    </w:lvl>
  </w:abstractNum>
  <w:abstractNum w:abstractNumId="21" w15:restartNumberingAfterBreak="0">
    <w:nsid w:val="468635B6"/>
    <w:multiLevelType w:val="multilevel"/>
    <w:tmpl w:val="90FA49E8"/>
    <w:lvl w:ilvl="0">
      <w:start w:val="1"/>
      <w:numFmt w:val="decimal"/>
      <w:lvlText w:val="%1."/>
      <w:lvlJc w:val="left"/>
      <w:pPr>
        <w:ind w:left="427" w:hanging="427"/>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812" w:hanging="1812"/>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532" w:hanging="2532"/>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252" w:hanging="3252"/>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3972" w:hanging="3972"/>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692" w:hanging="4692"/>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412" w:hanging="5412"/>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132" w:hanging="6132"/>
      </w:pPr>
      <w:rPr>
        <w:rFonts w:ascii="Verdana" w:eastAsia="Verdana" w:hAnsi="Verdana" w:cs="Verdana"/>
        <w:b w:val="0"/>
        <w:i w:val="0"/>
        <w:strike w:val="0"/>
        <w:color w:val="000000"/>
        <w:sz w:val="20"/>
        <w:szCs w:val="20"/>
        <w:u w:val="none"/>
        <w:shd w:val="clear" w:color="auto" w:fill="auto"/>
        <w:vertAlign w:val="baseline"/>
      </w:rPr>
    </w:lvl>
  </w:abstractNum>
  <w:abstractNum w:abstractNumId="22" w15:restartNumberingAfterBreak="0">
    <w:nsid w:val="4D502AC9"/>
    <w:multiLevelType w:val="multilevel"/>
    <w:tmpl w:val="1DB62D9A"/>
    <w:lvl w:ilvl="0">
      <w:start w:val="1"/>
      <w:numFmt w:val="lowerLetter"/>
      <w:lvlText w:val="%1)"/>
      <w:lvlJc w:val="left"/>
      <w:pPr>
        <w:ind w:left="1066" w:hanging="1066"/>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abstractNum w:abstractNumId="23" w15:restartNumberingAfterBreak="0">
    <w:nsid w:val="4F3E37BF"/>
    <w:multiLevelType w:val="multilevel"/>
    <w:tmpl w:val="B3D447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4F576FEA"/>
    <w:multiLevelType w:val="multilevel"/>
    <w:tmpl w:val="610C6C10"/>
    <w:lvl w:ilvl="0">
      <w:start w:val="1"/>
      <w:numFmt w:val="decimal"/>
      <w:lvlText w:val="%1."/>
      <w:lvlJc w:val="left"/>
      <w:pPr>
        <w:ind w:left="1004" w:hanging="360"/>
      </w:pPr>
      <w:rPr>
        <w:rFonts w:ascii="Arial Narrow" w:eastAsia="Arial Narrow" w:hAnsi="Arial Narrow" w:cs="Arial Narrow"/>
        <w:b w:val="0"/>
        <w:i w:val="0"/>
        <w:smallCaps w:val="0"/>
        <w:strike w:val="0"/>
        <w:color w:val="000000"/>
        <w:sz w:val="20"/>
        <w:szCs w:val="20"/>
        <w:u w:val="none"/>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15:restartNumberingAfterBreak="0">
    <w:nsid w:val="4F775B92"/>
    <w:multiLevelType w:val="multilevel"/>
    <w:tmpl w:val="914C89E4"/>
    <w:lvl w:ilvl="0">
      <w:start w:val="1"/>
      <w:numFmt w:val="bullet"/>
      <w:lvlText w:val="–"/>
      <w:lvlJc w:val="left"/>
      <w:pPr>
        <w:ind w:left="732" w:hanging="732"/>
      </w:pPr>
      <w:rPr>
        <w:rFonts w:ascii="Times New Roman" w:eastAsia="Times New Roman" w:hAnsi="Times New Roman" w:cs="Times New Roman"/>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26" w15:restartNumberingAfterBreak="0">
    <w:nsid w:val="528F0EB0"/>
    <w:multiLevelType w:val="multilevel"/>
    <w:tmpl w:val="5B228CE8"/>
    <w:lvl w:ilvl="0">
      <w:start w:val="613678848"/>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4883AAE"/>
    <w:multiLevelType w:val="multilevel"/>
    <w:tmpl w:val="D72AF8B0"/>
    <w:lvl w:ilvl="0">
      <w:start w:val="1"/>
      <w:numFmt w:val="bullet"/>
      <w:lvlText w:val="–"/>
      <w:lvlJc w:val="left"/>
      <w:pPr>
        <w:ind w:left="720" w:hanging="360"/>
      </w:pPr>
      <w:rPr>
        <w:rFonts w:ascii="Times New Roman" w:eastAsia="Times New Roman" w:hAnsi="Times New Roman" w:cs="Times New Roman"/>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643163D"/>
    <w:multiLevelType w:val="multilevel"/>
    <w:tmpl w:val="8E165C54"/>
    <w:lvl w:ilvl="0">
      <w:start w:val="5"/>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72029D3"/>
    <w:multiLevelType w:val="multilevel"/>
    <w:tmpl w:val="A11C5F40"/>
    <w:lvl w:ilvl="0">
      <w:start w:val="1"/>
      <w:numFmt w:val="bullet"/>
      <w:lvlText w:val="•"/>
      <w:lvlJc w:val="left"/>
      <w:pPr>
        <w:ind w:left="709" w:firstLine="0"/>
      </w:pPr>
      <w:rPr>
        <w:rFonts w:ascii="Arial" w:eastAsia="Arial" w:hAnsi="Arial" w:cs="Arial"/>
        <w:b w:val="0"/>
        <w:i w:val="0"/>
        <w:strike w:val="0"/>
        <w:color w:val="000000"/>
        <w:sz w:val="20"/>
        <w:szCs w:val="20"/>
        <w:u w:val="none"/>
        <w:vertAlign w:val="baseline"/>
      </w:rPr>
    </w:lvl>
    <w:lvl w:ilvl="1">
      <w:start w:val="1"/>
      <w:numFmt w:val="bullet"/>
      <w:lvlText w:val="o"/>
      <w:lvlJc w:val="left"/>
      <w:pPr>
        <w:ind w:left="911" w:hanging="360"/>
      </w:pPr>
      <w:rPr>
        <w:rFonts w:ascii="Courier New" w:eastAsia="Courier New" w:hAnsi="Courier New" w:cs="Courier New"/>
        <w:vertAlign w:val="baseline"/>
      </w:rPr>
    </w:lvl>
    <w:lvl w:ilvl="2">
      <w:start w:val="1"/>
      <w:numFmt w:val="bullet"/>
      <w:lvlText w:val="▪"/>
      <w:lvlJc w:val="left"/>
      <w:pPr>
        <w:ind w:left="1631" w:hanging="360"/>
      </w:pPr>
      <w:rPr>
        <w:rFonts w:ascii="Noto Sans Symbols" w:eastAsia="Noto Sans Symbols" w:hAnsi="Noto Sans Symbols" w:cs="Noto Sans Symbols"/>
        <w:vertAlign w:val="baseline"/>
      </w:rPr>
    </w:lvl>
    <w:lvl w:ilvl="3">
      <w:start w:val="1"/>
      <w:numFmt w:val="bullet"/>
      <w:lvlText w:val="●"/>
      <w:lvlJc w:val="left"/>
      <w:pPr>
        <w:ind w:left="2351" w:hanging="360"/>
      </w:pPr>
      <w:rPr>
        <w:rFonts w:ascii="Noto Sans Symbols" w:eastAsia="Noto Sans Symbols" w:hAnsi="Noto Sans Symbols" w:cs="Noto Sans Symbols"/>
        <w:vertAlign w:val="baseline"/>
      </w:rPr>
    </w:lvl>
    <w:lvl w:ilvl="4">
      <w:start w:val="1"/>
      <w:numFmt w:val="bullet"/>
      <w:lvlText w:val="o"/>
      <w:lvlJc w:val="left"/>
      <w:pPr>
        <w:ind w:left="3071" w:hanging="360"/>
      </w:pPr>
      <w:rPr>
        <w:rFonts w:ascii="Courier New" w:eastAsia="Courier New" w:hAnsi="Courier New" w:cs="Courier New"/>
        <w:vertAlign w:val="baseline"/>
      </w:rPr>
    </w:lvl>
    <w:lvl w:ilvl="5">
      <w:start w:val="1"/>
      <w:numFmt w:val="bullet"/>
      <w:lvlText w:val="▪"/>
      <w:lvlJc w:val="left"/>
      <w:pPr>
        <w:ind w:left="3791" w:hanging="360"/>
      </w:pPr>
      <w:rPr>
        <w:rFonts w:ascii="Noto Sans Symbols" w:eastAsia="Noto Sans Symbols" w:hAnsi="Noto Sans Symbols" w:cs="Noto Sans Symbols"/>
        <w:vertAlign w:val="baseline"/>
      </w:rPr>
    </w:lvl>
    <w:lvl w:ilvl="6">
      <w:start w:val="1"/>
      <w:numFmt w:val="bullet"/>
      <w:lvlText w:val="●"/>
      <w:lvlJc w:val="left"/>
      <w:pPr>
        <w:ind w:left="4511" w:hanging="360"/>
      </w:pPr>
      <w:rPr>
        <w:rFonts w:ascii="Noto Sans Symbols" w:eastAsia="Noto Sans Symbols" w:hAnsi="Noto Sans Symbols" w:cs="Noto Sans Symbols"/>
        <w:vertAlign w:val="baseline"/>
      </w:rPr>
    </w:lvl>
    <w:lvl w:ilvl="7">
      <w:start w:val="1"/>
      <w:numFmt w:val="bullet"/>
      <w:lvlText w:val="o"/>
      <w:lvlJc w:val="left"/>
      <w:pPr>
        <w:ind w:left="5231" w:hanging="360"/>
      </w:pPr>
      <w:rPr>
        <w:rFonts w:ascii="Courier New" w:eastAsia="Courier New" w:hAnsi="Courier New" w:cs="Courier New"/>
        <w:vertAlign w:val="baseline"/>
      </w:rPr>
    </w:lvl>
    <w:lvl w:ilvl="8">
      <w:start w:val="1"/>
      <w:numFmt w:val="bullet"/>
      <w:lvlText w:val="▪"/>
      <w:lvlJc w:val="left"/>
      <w:pPr>
        <w:ind w:left="5951" w:hanging="360"/>
      </w:pPr>
      <w:rPr>
        <w:rFonts w:ascii="Noto Sans Symbols" w:eastAsia="Noto Sans Symbols" w:hAnsi="Noto Sans Symbols" w:cs="Noto Sans Symbols"/>
        <w:vertAlign w:val="baseline"/>
      </w:rPr>
    </w:lvl>
  </w:abstractNum>
  <w:abstractNum w:abstractNumId="30" w15:restartNumberingAfterBreak="0">
    <w:nsid w:val="584351AD"/>
    <w:multiLevelType w:val="multilevel"/>
    <w:tmpl w:val="4776DACE"/>
    <w:lvl w:ilvl="0">
      <w:start w:val="2"/>
      <w:numFmt w:val="decimal"/>
      <w:lvlText w:val="%1."/>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1">
      <w:start w:val="1"/>
      <w:numFmt w:val="decimal"/>
      <w:lvlText w:val="%1.%2."/>
      <w:lvlJc w:val="left"/>
      <w:pPr>
        <w:ind w:left="0" w:firstLine="0"/>
      </w:pPr>
      <w:rPr>
        <w:rFonts w:ascii="Verdana" w:eastAsia="Verdana" w:hAnsi="Verdana" w:cs="Verdana"/>
        <w:b/>
        <w:i w:val="0"/>
        <w:strike w:val="0"/>
        <w:color w:val="000000"/>
        <w:sz w:val="20"/>
        <w:szCs w:val="20"/>
        <w:u w:val="none"/>
        <w:shd w:val="clear" w:color="auto" w:fill="auto"/>
        <w:vertAlign w:val="baseline"/>
      </w:rPr>
    </w:lvl>
    <w:lvl w:ilvl="2">
      <w:start w:val="1"/>
      <w:numFmt w:val="lowerRoman"/>
      <w:lvlText w:val="%3"/>
      <w:lvlJc w:val="left"/>
      <w:pPr>
        <w:ind w:left="1093" w:hanging="1093"/>
      </w:pPr>
      <w:rPr>
        <w:rFonts w:ascii="Verdana" w:eastAsia="Verdana" w:hAnsi="Verdana" w:cs="Verdana"/>
        <w:b/>
        <w:i w:val="0"/>
        <w:strike w:val="0"/>
        <w:color w:val="000000"/>
        <w:sz w:val="20"/>
        <w:szCs w:val="20"/>
        <w:u w:val="none"/>
        <w:shd w:val="clear" w:color="auto" w:fill="auto"/>
        <w:vertAlign w:val="baseline"/>
      </w:rPr>
    </w:lvl>
    <w:lvl w:ilvl="3">
      <w:start w:val="1"/>
      <w:numFmt w:val="decimal"/>
      <w:lvlText w:val="%4"/>
      <w:lvlJc w:val="left"/>
      <w:pPr>
        <w:ind w:left="1813" w:hanging="1813"/>
      </w:pPr>
      <w:rPr>
        <w:rFonts w:ascii="Verdana" w:eastAsia="Verdana" w:hAnsi="Verdana" w:cs="Verdana"/>
        <w:b/>
        <w:i w:val="0"/>
        <w:strike w:val="0"/>
        <w:color w:val="000000"/>
        <w:sz w:val="20"/>
        <w:szCs w:val="20"/>
        <w:u w:val="none"/>
        <w:shd w:val="clear" w:color="auto" w:fill="auto"/>
        <w:vertAlign w:val="baseline"/>
      </w:rPr>
    </w:lvl>
    <w:lvl w:ilvl="4">
      <w:start w:val="1"/>
      <w:numFmt w:val="lowerLetter"/>
      <w:lvlText w:val="%5"/>
      <w:lvlJc w:val="left"/>
      <w:pPr>
        <w:ind w:left="2533" w:hanging="2533"/>
      </w:pPr>
      <w:rPr>
        <w:rFonts w:ascii="Verdana" w:eastAsia="Verdana" w:hAnsi="Verdana" w:cs="Verdana"/>
        <w:b/>
        <w:i w:val="0"/>
        <w:strike w:val="0"/>
        <w:color w:val="000000"/>
        <w:sz w:val="20"/>
        <w:szCs w:val="20"/>
        <w:u w:val="none"/>
        <w:shd w:val="clear" w:color="auto" w:fill="auto"/>
        <w:vertAlign w:val="baseline"/>
      </w:rPr>
    </w:lvl>
    <w:lvl w:ilvl="5">
      <w:start w:val="1"/>
      <w:numFmt w:val="lowerRoman"/>
      <w:lvlText w:val="%6"/>
      <w:lvlJc w:val="left"/>
      <w:pPr>
        <w:ind w:left="3253" w:hanging="3253"/>
      </w:pPr>
      <w:rPr>
        <w:rFonts w:ascii="Verdana" w:eastAsia="Verdana" w:hAnsi="Verdana" w:cs="Verdana"/>
        <w:b/>
        <w:i w:val="0"/>
        <w:strike w:val="0"/>
        <w:color w:val="000000"/>
        <w:sz w:val="20"/>
        <w:szCs w:val="20"/>
        <w:u w:val="none"/>
        <w:shd w:val="clear" w:color="auto" w:fill="auto"/>
        <w:vertAlign w:val="baseline"/>
      </w:rPr>
    </w:lvl>
    <w:lvl w:ilvl="6">
      <w:start w:val="1"/>
      <w:numFmt w:val="decimal"/>
      <w:lvlText w:val="%7"/>
      <w:lvlJc w:val="left"/>
      <w:pPr>
        <w:ind w:left="3973" w:hanging="3973"/>
      </w:pPr>
      <w:rPr>
        <w:rFonts w:ascii="Verdana" w:eastAsia="Verdana" w:hAnsi="Verdana" w:cs="Verdana"/>
        <w:b/>
        <w:i w:val="0"/>
        <w:strike w:val="0"/>
        <w:color w:val="000000"/>
        <w:sz w:val="20"/>
        <w:szCs w:val="20"/>
        <w:u w:val="none"/>
        <w:shd w:val="clear" w:color="auto" w:fill="auto"/>
        <w:vertAlign w:val="baseline"/>
      </w:rPr>
    </w:lvl>
    <w:lvl w:ilvl="7">
      <w:start w:val="1"/>
      <w:numFmt w:val="lowerLetter"/>
      <w:lvlText w:val="%8"/>
      <w:lvlJc w:val="left"/>
      <w:pPr>
        <w:ind w:left="4693" w:hanging="4693"/>
      </w:pPr>
      <w:rPr>
        <w:rFonts w:ascii="Verdana" w:eastAsia="Verdana" w:hAnsi="Verdana" w:cs="Verdana"/>
        <w:b/>
        <w:i w:val="0"/>
        <w:strike w:val="0"/>
        <w:color w:val="000000"/>
        <w:sz w:val="20"/>
        <w:szCs w:val="20"/>
        <w:u w:val="none"/>
        <w:shd w:val="clear" w:color="auto" w:fill="auto"/>
        <w:vertAlign w:val="baseline"/>
      </w:rPr>
    </w:lvl>
    <w:lvl w:ilvl="8">
      <w:start w:val="1"/>
      <w:numFmt w:val="lowerRoman"/>
      <w:lvlText w:val="%9"/>
      <w:lvlJc w:val="left"/>
      <w:pPr>
        <w:ind w:left="5413" w:hanging="5413"/>
      </w:pPr>
      <w:rPr>
        <w:rFonts w:ascii="Verdana" w:eastAsia="Verdana" w:hAnsi="Verdana" w:cs="Verdana"/>
        <w:b/>
        <w:i w:val="0"/>
        <w:strike w:val="0"/>
        <w:color w:val="000000"/>
        <w:sz w:val="20"/>
        <w:szCs w:val="20"/>
        <w:u w:val="none"/>
        <w:shd w:val="clear" w:color="auto" w:fill="auto"/>
        <w:vertAlign w:val="baseline"/>
      </w:rPr>
    </w:lvl>
  </w:abstractNum>
  <w:abstractNum w:abstractNumId="31" w15:restartNumberingAfterBreak="0">
    <w:nsid w:val="5BA340CB"/>
    <w:multiLevelType w:val="multilevel"/>
    <w:tmpl w:val="CF581216"/>
    <w:lvl w:ilvl="0">
      <w:start w:val="9"/>
      <w:numFmt w:val="decimal"/>
      <w:lvlText w:val="%1."/>
      <w:lvlJc w:val="left"/>
      <w:pPr>
        <w:ind w:left="862"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2" w15:restartNumberingAfterBreak="0">
    <w:nsid w:val="5CE32AC5"/>
    <w:multiLevelType w:val="multilevel"/>
    <w:tmpl w:val="20EE9C4C"/>
    <w:lvl w:ilvl="0">
      <w:start w:val="1"/>
      <w:numFmt w:val="decimal"/>
      <w:lvlText w:val="%1"/>
      <w:lvlJc w:val="left"/>
      <w:pPr>
        <w:ind w:left="984" w:hanging="984"/>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94" w:hanging="1294"/>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014" w:hanging="2014"/>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734" w:hanging="2734"/>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54" w:hanging="3454"/>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74" w:hanging="4174"/>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94" w:hanging="4894"/>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614" w:hanging="5614"/>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334" w:hanging="6334"/>
      </w:pPr>
      <w:rPr>
        <w:rFonts w:ascii="Verdana" w:eastAsia="Verdana" w:hAnsi="Verdana" w:cs="Verdana"/>
        <w:b w:val="0"/>
        <w:i w:val="0"/>
        <w:strike w:val="0"/>
        <w:color w:val="000000"/>
        <w:sz w:val="20"/>
        <w:szCs w:val="20"/>
        <w:u w:val="none"/>
        <w:shd w:val="clear" w:color="auto" w:fill="auto"/>
        <w:vertAlign w:val="baseline"/>
      </w:rPr>
    </w:lvl>
  </w:abstractNum>
  <w:abstractNum w:abstractNumId="33" w15:restartNumberingAfterBreak="0">
    <w:nsid w:val="5FC96F99"/>
    <w:multiLevelType w:val="multilevel"/>
    <w:tmpl w:val="30C2DF58"/>
    <w:lvl w:ilvl="0">
      <w:start w:val="1"/>
      <w:numFmt w:val="bullet"/>
      <w:lvlText w:val=""/>
      <w:lvlJc w:val="left"/>
      <w:pPr>
        <w:ind w:left="852" w:hanging="852"/>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1">
      <w:start w:val="1"/>
      <w:numFmt w:val="bullet"/>
      <w:lvlText w:val="o"/>
      <w:lvlJc w:val="left"/>
      <w:pPr>
        <w:ind w:left="1646" w:hanging="164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366" w:hanging="23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3086" w:hanging="308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806" w:hanging="380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526" w:hanging="452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246" w:hanging="524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966" w:hanging="59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686" w:hanging="6686"/>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4" w15:restartNumberingAfterBreak="0">
    <w:nsid w:val="608B773D"/>
    <w:multiLevelType w:val="multilevel"/>
    <w:tmpl w:val="73D8C794"/>
    <w:lvl w:ilvl="0">
      <w:start w:val="1"/>
      <w:numFmt w:val="decimal"/>
      <w:lvlText w:val="%1)"/>
      <w:lvlJc w:val="left"/>
      <w:pPr>
        <w:ind w:left="175" w:hanging="175"/>
      </w:pPr>
      <w:rPr>
        <w:rFonts w:ascii="Verdana" w:eastAsia="Verdana" w:hAnsi="Verdana" w:cs="Verdana"/>
        <w:b w:val="0"/>
        <w:i w:val="0"/>
        <w:strike w:val="0"/>
        <w:color w:val="000000"/>
        <w:sz w:val="16"/>
        <w:szCs w:val="16"/>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val="0"/>
        <w:strike w:val="0"/>
        <w:color w:val="000000"/>
        <w:sz w:val="16"/>
        <w:szCs w:val="16"/>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val="0"/>
        <w:strike w:val="0"/>
        <w:color w:val="000000"/>
        <w:sz w:val="16"/>
        <w:szCs w:val="16"/>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val="0"/>
        <w:strike w:val="0"/>
        <w:color w:val="000000"/>
        <w:sz w:val="16"/>
        <w:szCs w:val="16"/>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val="0"/>
        <w:strike w:val="0"/>
        <w:color w:val="000000"/>
        <w:sz w:val="16"/>
        <w:szCs w:val="16"/>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val="0"/>
        <w:strike w:val="0"/>
        <w:color w:val="000000"/>
        <w:sz w:val="16"/>
        <w:szCs w:val="16"/>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val="0"/>
        <w:strike w:val="0"/>
        <w:color w:val="000000"/>
        <w:sz w:val="16"/>
        <w:szCs w:val="16"/>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val="0"/>
        <w:strike w:val="0"/>
        <w:color w:val="000000"/>
        <w:sz w:val="16"/>
        <w:szCs w:val="16"/>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val="0"/>
        <w:strike w:val="0"/>
        <w:color w:val="000000"/>
        <w:sz w:val="16"/>
        <w:szCs w:val="16"/>
        <w:u w:val="none"/>
        <w:shd w:val="clear" w:color="auto" w:fill="auto"/>
        <w:vertAlign w:val="superscript"/>
      </w:rPr>
    </w:lvl>
  </w:abstractNum>
  <w:abstractNum w:abstractNumId="35" w15:restartNumberingAfterBreak="0">
    <w:nsid w:val="65EF434B"/>
    <w:multiLevelType w:val="multilevel"/>
    <w:tmpl w:val="8A90360A"/>
    <w:lvl w:ilvl="0">
      <w:start w:val="12"/>
      <w:numFmt w:val="decimal"/>
      <w:lvlText w:val="%1."/>
      <w:lvlJc w:val="left"/>
      <w:pPr>
        <w:ind w:left="397" w:hanging="3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77664C9"/>
    <w:multiLevelType w:val="multilevel"/>
    <w:tmpl w:val="8A321C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692328CF"/>
    <w:multiLevelType w:val="multilevel"/>
    <w:tmpl w:val="748A4E64"/>
    <w:lvl w:ilvl="0">
      <w:start w:val="1"/>
      <w:numFmt w:val="decimal"/>
      <w:lvlText w:val="%1."/>
      <w:lvlJc w:val="left"/>
      <w:pPr>
        <w:ind w:left="675" w:hanging="675"/>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259" w:hanging="1259"/>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1979" w:hanging="1979"/>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699" w:hanging="2699"/>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419" w:hanging="3419"/>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139" w:hanging="4139"/>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4859" w:hanging="4859"/>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579" w:hanging="5579"/>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299" w:hanging="6299"/>
      </w:pPr>
      <w:rPr>
        <w:rFonts w:ascii="Verdana" w:eastAsia="Verdana" w:hAnsi="Verdana" w:cs="Verdana"/>
        <w:b w:val="0"/>
        <w:i w:val="0"/>
        <w:strike w:val="0"/>
        <w:color w:val="000000"/>
        <w:sz w:val="20"/>
        <w:szCs w:val="20"/>
        <w:u w:val="none"/>
        <w:shd w:val="clear" w:color="auto" w:fill="auto"/>
        <w:vertAlign w:val="baseline"/>
      </w:rPr>
    </w:lvl>
  </w:abstractNum>
  <w:abstractNum w:abstractNumId="38" w15:restartNumberingAfterBreak="0">
    <w:nsid w:val="6A9B0E39"/>
    <w:multiLevelType w:val="multilevel"/>
    <w:tmpl w:val="A80EADFE"/>
    <w:lvl w:ilvl="0">
      <w:start w:val="2"/>
      <w:numFmt w:val="lowerLetter"/>
      <w:lvlText w:val="%1)"/>
      <w:lvlJc w:val="left"/>
      <w:pPr>
        <w:ind w:left="1239" w:hanging="1239"/>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788" w:hanging="1788"/>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508" w:hanging="2508"/>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3228" w:hanging="3228"/>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948" w:hanging="3948"/>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668" w:hanging="4668"/>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388" w:hanging="5388"/>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6108" w:hanging="6108"/>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828" w:hanging="6828"/>
      </w:pPr>
      <w:rPr>
        <w:rFonts w:ascii="Verdana" w:eastAsia="Verdana" w:hAnsi="Verdana" w:cs="Verdana"/>
        <w:b w:val="0"/>
        <w:i w:val="0"/>
        <w:strike w:val="0"/>
        <w:color w:val="000000"/>
        <w:sz w:val="20"/>
        <w:szCs w:val="20"/>
        <w:u w:val="none"/>
        <w:shd w:val="clear" w:color="auto" w:fill="auto"/>
        <w:vertAlign w:val="baseline"/>
      </w:rPr>
    </w:lvl>
  </w:abstractNum>
  <w:abstractNum w:abstractNumId="39" w15:restartNumberingAfterBreak="0">
    <w:nsid w:val="72045C7E"/>
    <w:multiLevelType w:val="multilevel"/>
    <w:tmpl w:val="4CD4B0D2"/>
    <w:lvl w:ilvl="0">
      <w:start w:val="613680248"/>
      <w:numFmt w:val="decimal"/>
      <w:lvlText w:val="1.4.%1. "/>
      <w:lvlJc w:val="left"/>
      <w:pPr>
        <w:ind w:left="283" w:hanging="283"/>
      </w:pPr>
      <w:rPr>
        <w:b/>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89011A5"/>
    <w:multiLevelType w:val="multilevel"/>
    <w:tmpl w:val="546E71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7E8911C6"/>
    <w:multiLevelType w:val="multilevel"/>
    <w:tmpl w:val="FCCE0562"/>
    <w:lvl w:ilvl="0">
      <w:start w:val="2"/>
      <w:numFmt w:val="decimal"/>
      <w:lvlText w:val="%1)"/>
      <w:lvlJc w:val="left"/>
      <w:pPr>
        <w:ind w:left="377" w:hanging="377"/>
      </w:pPr>
      <w:rPr>
        <w:rFonts w:ascii="Verdana" w:eastAsia="Verdana" w:hAnsi="Verdana" w:cs="Verdana"/>
        <w:b w:val="0"/>
        <w:i/>
        <w:strike w:val="0"/>
        <w:color w:val="000000"/>
        <w:sz w:val="20"/>
        <w:szCs w:val="20"/>
        <w:u w:val="none"/>
        <w:shd w:val="clear" w:color="auto" w:fill="auto"/>
        <w:vertAlign w:val="superscript"/>
      </w:rPr>
    </w:lvl>
    <w:lvl w:ilvl="1">
      <w:start w:val="1"/>
      <w:numFmt w:val="lowerLetter"/>
      <w:lvlText w:val="%2"/>
      <w:lvlJc w:val="left"/>
      <w:pPr>
        <w:ind w:left="1080" w:hanging="1080"/>
      </w:pPr>
      <w:rPr>
        <w:rFonts w:ascii="Verdana" w:eastAsia="Verdana" w:hAnsi="Verdana" w:cs="Verdana"/>
        <w:b w:val="0"/>
        <w:i/>
        <w:strike w:val="0"/>
        <w:color w:val="000000"/>
        <w:sz w:val="20"/>
        <w:szCs w:val="20"/>
        <w:u w:val="none"/>
        <w:shd w:val="clear" w:color="auto" w:fill="auto"/>
        <w:vertAlign w:val="superscript"/>
      </w:rPr>
    </w:lvl>
    <w:lvl w:ilvl="2">
      <w:start w:val="1"/>
      <w:numFmt w:val="lowerRoman"/>
      <w:lvlText w:val="%3"/>
      <w:lvlJc w:val="left"/>
      <w:pPr>
        <w:ind w:left="1800" w:hanging="1800"/>
      </w:pPr>
      <w:rPr>
        <w:rFonts w:ascii="Verdana" w:eastAsia="Verdana" w:hAnsi="Verdana" w:cs="Verdana"/>
        <w:b w:val="0"/>
        <w:i/>
        <w:strike w:val="0"/>
        <w:color w:val="000000"/>
        <w:sz w:val="20"/>
        <w:szCs w:val="20"/>
        <w:u w:val="none"/>
        <w:shd w:val="clear" w:color="auto" w:fill="auto"/>
        <w:vertAlign w:val="superscript"/>
      </w:rPr>
    </w:lvl>
    <w:lvl w:ilvl="3">
      <w:start w:val="1"/>
      <w:numFmt w:val="decimal"/>
      <w:lvlText w:val="%4"/>
      <w:lvlJc w:val="left"/>
      <w:pPr>
        <w:ind w:left="2520" w:hanging="2520"/>
      </w:pPr>
      <w:rPr>
        <w:rFonts w:ascii="Verdana" w:eastAsia="Verdana" w:hAnsi="Verdana" w:cs="Verdana"/>
        <w:b w:val="0"/>
        <w:i/>
        <w:strike w:val="0"/>
        <w:color w:val="000000"/>
        <w:sz w:val="20"/>
        <w:szCs w:val="20"/>
        <w:u w:val="none"/>
        <w:shd w:val="clear" w:color="auto" w:fill="auto"/>
        <w:vertAlign w:val="superscript"/>
      </w:rPr>
    </w:lvl>
    <w:lvl w:ilvl="4">
      <w:start w:val="1"/>
      <w:numFmt w:val="lowerLetter"/>
      <w:lvlText w:val="%5"/>
      <w:lvlJc w:val="left"/>
      <w:pPr>
        <w:ind w:left="3240" w:hanging="3240"/>
      </w:pPr>
      <w:rPr>
        <w:rFonts w:ascii="Verdana" w:eastAsia="Verdana" w:hAnsi="Verdana" w:cs="Verdana"/>
        <w:b w:val="0"/>
        <w:i/>
        <w:strike w:val="0"/>
        <w:color w:val="000000"/>
        <w:sz w:val="20"/>
        <w:szCs w:val="20"/>
        <w:u w:val="none"/>
        <w:shd w:val="clear" w:color="auto" w:fill="auto"/>
        <w:vertAlign w:val="superscript"/>
      </w:rPr>
    </w:lvl>
    <w:lvl w:ilvl="5">
      <w:start w:val="1"/>
      <w:numFmt w:val="lowerRoman"/>
      <w:lvlText w:val="%6"/>
      <w:lvlJc w:val="left"/>
      <w:pPr>
        <w:ind w:left="3960" w:hanging="3960"/>
      </w:pPr>
      <w:rPr>
        <w:rFonts w:ascii="Verdana" w:eastAsia="Verdana" w:hAnsi="Verdana" w:cs="Verdana"/>
        <w:b w:val="0"/>
        <w:i/>
        <w:strike w:val="0"/>
        <w:color w:val="000000"/>
        <w:sz w:val="20"/>
        <w:szCs w:val="20"/>
        <w:u w:val="none"/>
        <w:shd w:val="clear" w:color="auto" w:fill="auto"/>
        <w:vertAlign w:val="superscript"/>
      </w:rPr>
    </w:lvl>
    <w:lvl w:ilvl="6">
      <w:start w:val="1"/>
      <w:numFmt w:val="decimal"/>
      <w:lvlText w:val="%7"/>
      <w:lvlJc w:val="left"/>
      <w:pPr>
        <w:ind w:left="4680" w:hanging="4680"/>
      </w:pPr>
      <w:rPr>
        <w:rFonts w:ascii="Verdana" w:eastAsia="Verdana" w:hAnsi="Verdana" w:cs="Verdana"/>
        <w:b w:val="0"/>
        <w:i/>
        <w:strike w:val="0"/>
        <w:color w:val="000000"/>
        <w:sz w:val="20"/>
        <w:szCs w:val="20"/>
        <w:u w:val="none"/>
        <w:shd w:val="clear" w:color="auto" w:fill="auto"/>
        <w:vertAlign w:val="superscript"/>
      </w:rPr>
    </w:lvl>
    <w:lvl w:ilvl="7">
      <w:start w:val="1"/>
      <w:numFmt w:val="lowerLetter"/>
      <w:lvlText w:val="%8"/>
      <w:lvlJc w:val="left"/>
      <w:pPr>
        <w:ind w:left="5400" w:hanging="5400"/>
      </w:pPr>
      <w:rPr>
        <w:rFonts w:ascii="Verdana" w:eastAsia="Verdana" w:hAnsi="Verdana" w:cs="Verdana"/>
        <w:b w:val="0"/>
        <w:i/>
        <w:strike w:val="0"/>
        <w:color w:val="000000"/>
        <w:sz w:val="20"/>
        <w:szCs w:val="20"/>
        <w:u w:val="none"/>
        <w:shd w:val="clear" w:color="auto" w:fill="auto"/>
        <w:vertAlign w:val="superscript"/>
      </w:rPr>
    </w:lvl>
    <w:lvl w:ilvl="8">
      <w:start w:val="1"/>
      <w:numFmt w:val="lowerRoman"/>
      <w:lvlText w:val="%9"/>
      <w:lvlJc w:val="left"/>
      <w:pPr>
        <w:ind w:left="6120" w:hanging="6120"/>
      </w:pPr>
      <w:rPr>
        <w:rFonts w:ascii="Verdana" w:eastAsia="Verdana" w:hAnsi="Verdana" w:cs="Verdana"/>
        <w:b w:val="0"/>
        <w:i/>
        <w:strike w:val="0"/>
        <w:color w:val="000000"/>
        <w:sz w:val="20"/>
        <w:szCs w:val="20"/>
        <w:u w:val="none"/>
        <w:shd w:val="clear" w:color="auto" w:fill="auto"/>
        <w:vertAlign w:val="superscript"/>
      </w:rPr>
    </w:lvl>
  </w:abstractNum>
  <w:abstractNum w:abstractNumId="42" w15:restartNumberingAfterBreak="0">
    <w:nsid w:val="7FC57E37"/>
    <w:multiLevelType w:val="multilevel"/>
    <w:tmpl w:val="D58CD8DE"/>
    <w:lvl w:ilvl="0">
      <w:start w:val="28"/>
      <w:numFmt w:val="decimal"/>
      <w:lvlText w:val="%1."/>
      <w:lvlJc w:val="left"/>
      <w:pPr>
        <w:ind w:left="708" w:hanging="708"/>
      </w:pPr>
      <w:rPr>
        <w:rFonts w:ascii="Verdana" w:eastAsia="Verdana" w:hAnsi="Verdana" w:cs="Verdana"/>
        <w:b w:val="0"/>
        <w:i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Verdana" w:eastAsia="Verdana" w:hAnsi="Verdana" w:cs="Verdana"/>
        <w:b w:val="0"/>
        <w:i w:val="0"/>
        <w:strike w:val="0"/>
        <w:color w:val="000000"/>
        <w:sz w:val="20"/>
        <w:szCs w:val="20"/>
        <w:u w:val="none"/>
        <w:shd w:val="clear" w:color="auto" w:fill="auto"/>
        <w:vertAlign w:val="baseline"/>
      </w:rPr>
    </w:lvl>
    <w:lvl w:ilvl="2">
      <w:start w:val="1"/>
      <w:numFmt w:val="lowerRoman"/>
      <w:lvlText w:val="%3"/>
      <w:lvlJc w:val="left"/>
      <w:pPr>
        <w:ind w:left="2160" w:hanging="2160"/>
      </w:pPr>
      <w:rPr>
        <w:rFonts w:ascii="Verdana" w:eastAsia="Verdana" w:hAnsi="Verdana" w:cs="Verdana"/>
        <w:b w:val="0"/>
        <w:i w:val="0"/>
        <w:strike w:val="0"/>
        <w:color w:val="000000"/>
        <w:sz w:val="20"/>
        <w:szCs w:val="20"/>
        <w:u w:val="none"/>
        <w:shd w:val="clear" w:color="auto" w:fill="auto"/>
        <w:vertAlign w:val="baseline"/>
      </w:rPr>
    </w:lvl>
    <w:lvl w:ilvl="3">
      <w:start w:val="1"/>
      <w:numFmt w:val="decimal"/>
      <w:lvlText w:val="%4"/>
      <w:lvlJc w:val="left"/>
      <w:pPr>
        <w:ind w:left="2880" w:hanging="2880"/>
      </w:pPr>
      <w:rPr>
        <w:rFonts w:ascii="Verdana" w:eastAsia="Verdana" w:hAnsi="Verdana" w:cs="Verdana"/>
        <w:b w:val="0"/>
        <w:i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Verdana" w:eastAsia="Verdana" w:hAnsi="Verdana" w:cs="Verdana"/>
        <w:b w:val="0"/>
        <w:i w:val="0"/>
        <w:strike w:val="0"/>
        <w:color w:val="000000"/>
        <w:sz w:val="20"/>
        <w:szCs w:val="20"/>
        <w:u w:val="none"/>
        <w:shd w:val="clear" w:color="auto" w:fill="auto"/>
        <w:vertAlign w:val="baseline"/>
      </w:rPr>
    </w:lvl>
    <w:lvl w:ilvl="5">
      <w:start w:val="1"/>
      <w:numFmt w:val="lowerRoman"/>
      <w:lvlText w:val="%6"/>
      <w:lvlJc w:val="left"/>
      <w:pPr>
        <w:ind w:left="4320" w:hanging="4320"/>
      </w:pPr>
      <w:rPr>
        <w:rFonts w:ascii="Verdana" w:eastAsia="Verdana" w:hAnsi="Verdana" w:cs="Verdana"/>
        <w:b w:val="0"/>
        <w:i w:val="0"/>
        <w:strike w:val="0"/>
        <w:color w:val="000000"/>
        <w:sz w:val="20"/>
        <w:szCs w:val="20"/>
        <w:u w:val="none"/>
        <w:shd w:val="clear" w:color="auto" w:fill="auto"/>
        <w:vertAlign w:val="baseline"/>
      </w:rPr>
    </w:lvl>
    <w:lvl w:ilvl="6">
      <w:start w:val="1"/>
      <w:numFmt w:val="decimal"/>
      <w:lvlText w:val="%7"/>
      <w:lvlJc w:val="left"/>
      <w:pPr>
        <w:ind w:left="5040" w:hanging="5040"/>
      </w:pPr>
      <w:rPr>
        <w:rFonts w:ascii="Verdana" w:eastAsia="Verdana" w:hAnsi="Verdana" w:cs="Verdana"/>
        <w:b w:val="0"/>
        <w:i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Verdana" w:eastAsia="Verdana" w:hAnsi="Verdana" w:cs="Verdana"/>
        <w:b w:val="0"/>
        <w:i w:val="0"/>
        <w:strike w:val="0"/>
        <w:color w:val="000000"/>
        <w:sz w:val="20"/>
        <w:szCs w:val="20"/>
        <w:u w:val="none"/>
        <w:shd w:val="clear" w:color="auto" w:fill="auto"/>
        <w:vertAlign w:val="baseline"/>
      </w:rPr>
    </w:lvl>
    <w:lvl w:ilvl="8">
      <w:start w:val="1"/>
      <w:numFmt w:val="lowerRoman"/>
      <w:lvlText w:val="%9"/>
      <w:lvlJc w:val="left"/>
      <w:pPr>
        <w:ind w:left="6480" w:hanging="6480"/>
      </w:pPr>
      <w:rPr>
        <w:rFonts w:ascii="Verdana" w:eastAsia="Verdana" w:hAnsi="Verdana" w:cs="Verdana"/>
        <w:b w:val="0"/>
        <w:i w:val="0"/>
        <w:strike w:val="0"/>
        <w:color w:val="000000"/>
        <w:sz w:val="20"/>
        <w:szCs w:val="20"/>
        <w:u w:val="none"/>
        <w:shd w:val="clear" w:color="auto" w:fill="auto"/>
        <w:vertAlign w:val="baseline"/>
      </w:rPr>
    </w:lvl>
  </w:abstractNum>
  <w:num w:numId="1" w16cid:durableId="1767773696">
    <w:abstractNumId w:val="24"/>
  </w:num>
  <w:num w:numId="2" w16cid:durableId="208150981">
    <w:abstractNumId w:val="5"/>
  </w:num>
  <w:num w:numId="3" w16cid:durableId="349726777">
    <w:abstractNumId w:val="19"/>
  </w:num>
  <w:num w:numId="4" w16cid:durableId="595208720">
    <w:abstractNumId w:val="18"/>
  </w:num>
  <w:num w:numId="5" w16cid:durableId="254751644">
    <w:abstractNumId w:val="27"/>
  </w:num>
  <w:num w:numId="6" w16cid:durableId="171796565">
    <w:abstractNumId w:val="3"/>
  </w:num>
  <w:num w:numId="7" w16cid:durableId="1226381261">
    <w:abstractNumId w:val="10"/>
  </w:num>
  <w:num w:numId="8" w16cid:durableId="430049901">
    <w:abstractNumId w:val="28"/>
  </w:num>
  <w:num w:numId="9" w16cid:durableId="1645352545">
    <w:abstractNumId w:val="11"/>
  </w:num>
  <w:num w:numId="10" w16cid:durableId="1777142075">
    <w:abstractNumId w:val="0"/>
  </w:num>
  <w:num w:numId="11" w16cid:durableId="997222637">
    <w:abstractNumId w:val="39"/>
  </w:num>
  <w:num w:numId="12" w16cid:durableId="2061901569">
    <w:abstractNumId w:val="42"/>
  </w:num>
  <w:num w:numId="13" w16cid:durableId="1345203743">
    <w:abstractNumId w:val="14"/>
  </w:num>
  <w:num w:numId="14" w16cid:durableId="972908292">
    <w:abstractNumId w:val="1"/>
  </w:num>
  <w:num w:numId="15" w16cid:durableId="900485304">
    <w:abstractNumId w:val="21"/>
  </w:num>
  <w:num w:numId="16" w16cid:durableId="1117330377">
    <w:abstractNumId w:val="26"/>
  </w:num>
  <w:num w:numId="17" w16cid:durableId="548340079">
    <w:abstractNumId w:val="7"/>
  </w:num>
  <w:num w:numId="18" w16cid:durableId="1488782375">
    <w:abstractNumId w:val="9"/>
  </w:num>
  <w:num w:numId="19" w16cid:durableId="96829306">
    <w:abstractNumId w:val="4"/>
  </w:num>
  <w:num w:numId="20" w16cid:durableId="1469974750">
    <w:abstractNumId w:val="34"/>
  </w:num>
  <w:num w:numId="21" w16cid:durableId="2043548769">
    <w:abstractNumId w:val="2"/>
  </w:num>
  <w:num w:numId="22" w16cid:durableId="1437561893">
    <w:abstractNumId w:val="20"/>
  </w:num>
  <w:num w:numId="23" w16cid:durableId="1848444861">
    <w:abstractNumId w:val="8"/>
  </w:num>
  <w:num w:numId="24" w16cid:durableId="906841736">
    <w:abstractNumId w:val="30"/>
  </w:num>
  <w:num w:numId="25" w16cid:durableId="2106144915">
    <w:abstractNumId w:val="37"/>
  </w:num>
  <w:num w:numId="26" w16cid:durableId="1707099771">
    <w:abstractNumId w:val="32"/>
  </w:num>
  <w:num w:numId="27" w16cid:durableId="535653934">
    <w:abstractNumId w:val="22"/>
  </w:num>
  <w:num w:numId="28" w16cid:durableId="698359202">
    <w:abstractNumId w:val="40"/>
  </w:num>
  <w:num w:numId="29" w16cid:durableId="1900552548">
    <w:abstractNumId w:val="33"/>
  </w:num>
  <w:num w:numId="30" w16cid:durableId="534928693">
    <w:abstractNumId w:val="35"/>
  </w:num>
  <w:num w:numId="31" w16cid:durableId="1784575814">
    <w:abstractNumId w:val="29"/>
  </w:num>
  <w:num w:numId="32" w16cid:durableId="68773306">
    <w:abstractNumId w:val="31"/>
  </w:num>
  <w:num w:numId="33" w16cid:durableId="943924713">
    <w:abstractNumId w:val="13"/>
  </w:num>
  <w:num w:numId="34" w16cid:durableId="1446000178">
    <w:abstractNumId w:val="6"/>
  </w:num>
  <w:num w:numId="35" w16cid:durableId="1849369104">
    <w:abstractNumId w:val="36"/>
  </w:num>
  <w:num w:numId="36" w16cid:durableId="1179809806">
    <w:abstractNumId w:val="25"/>
  </w:num>
  <w:num w:numId="37" w16cid:durableId="1346518552">
    <w:abstractNumId w:val="17"/>
  </w:num>
  <w:num w:numId="38" w16cid:durableId="1869097591">
    <w:abstractNumId w:val="41"/>
  </w:num>
  <w:num w:numId="39" w16cid:durableId="1005401765">
    <w:abstractNumId w:val="38"/>
  </w:num>
  <w:num w:numId="40" w16cid:durableId="2127579901">
    <w:abstractNumId w:val="16"/>
  </w:num>
  <w:num w:numId="41" w16cid:durableId="387068945">
    <w:abstractNumId w:val="15"/>
  </w:num>
  <w:num w:numId="42" w16cid:durableId="1696685741">
    <w:abstractNumId w:val="23"/>
  </w:num>
  <w:num w:numId="43" w16cid:durableId="17418294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514"/>
    <w:rsid w:val="0001076A"/>
    <w:rsid w:val="000D1E67"/>
    <w:rsid w:val="001D75DB"/>
    <w:rsid w:val="001F44F6"/>
    <w:rsid w:val="002334AE"/>
    <w:rsid w:val="00291765"/>
    <w:rsid w:val="003B4798"/>
    <w:rsid w:val="003F277A"/>
    <w:rsid w:val="00437CD7"/>
    <w:rsid w:val="00456E57"/>
    <w:rsid w:val="00466F2F"/>
    <w:rsid w:val="00473E56"/>
    <w:rsid w:val="00484375"/>
    <w:rsid w:val="004D195D"/>
    <w:rsid w:val="005378D1"/>
    <w:rsid w:val="00543D3F"/>
    <w:rsid w:val="005B377F"/>
    <w:rsid w:val="005E6514"/>
    <w:rsid w:val="0070524D"/>
    <w:rsid w:val="007E1D1E"/>
    <w:rsid w:val="008B7876"/>
    <w:rsid w:val="009616E5"/>
    <w:rsid w:val="00984D2E"/>
    <w:rsid w:val="00A66738"/>
    <w:rsid w:val="00B57830"/>
    <w:rsid w:val="00B81EF3"/>
    <w:rsid w:val="00BD6012"/>
    <w:rsid w:val="00C14BBA"/>
    <w:rsid w:val="00CF7727"/>
    <w:rsid w:val="00D41B34"/>
    <w:rsid w:val="00DF7676"/>
    <w:rsid w:val="00E36B29"/>
    <w:rsid w:val="00EF5D7B"/>
    <w:rsid w:val="00F3646C"/>
    <w:rsid w:val="00F53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2C85"/>
  <w15:docId w15:val="{39BAA8AE-A538-4F8C-9F65-E5C001CC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0" w:type="dxa"/>
        <w:left w:w="22" w:type="dxa"/>
      </w:tblCellMar>
    </w:tblPr>
  </w:style>
  <w:style w:type="table" w:customStyle="1" w:styleId="a0">
    <w:basedOn w:val="TableNormal"/>
    <w:tblPr>
      <w:tblStyleRowBandSize w:val="1"/>
      <w:tblStyleColBandSize w:val="1"/>
      <w:tblCellMar>
        <w:top w:w="59" w:type="dxa"/>
        <w:left w:w="115" w:type="dxa"/>
        <w:right w:w="115" w:type="dxa"/>
      </w:tblCellMar>
    </w:tblPr>
  </w:style>
  <w:style w:type="table" w:customStyle="1" w:styleId="a1">
    <w:basedOn w:val="TableNormal"/>
    <w:tblPr>
      <w:tblStyleRowBandSize w:val="1"/>
      <w:tblStyleColBandSize w:val="1"/>
      <w:tblCellMar>
        <w:top w:w="50" w:type="dxa"/>
        <w:left w:w="115" w:type="dxa"/>
        <w:right w:w="54"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60" w:type="dxa"/>
        <w:right w:w="60" w:type="dxa"/>
      </w:tblCellMar>
    </w:tblPr>
  </w:style>
  <w:style w:type="table" w:customStyle="1" w:styleId="a6">
    <w:basedOn w:val="TableNormal"/>
    <w:tblPr>
      <w:tblStyleRowBandSize w:val="1"/>
      <w:tblStyleColBandSize w:val="1"/>
      <w:tblCellMar>
        <w:left w:w="120" w:type="dxa"/>
        <w:right w:w="120"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top w:w="52" w:type="dxa"/>
        <w:left w:w="106" w:type="dxa"/>
        <w:right w:w="40" w:type="dxa"/>
      </w:tblCellMar>
    </w:tblPr>
  </w:style>
  <w:style w:type="table" w:customStyle="1" w:styleId="aa">
    <w:basedOn w:val="TableNormal"/>
    <w:tblPr>
      <w:tblStyleRowBandSize w:val="1"/>
      <w:tblStyleColBandSize w:val="1"/>
      <w:tblCellMar>
        <w:top w:w="56" w:type="dxa"/>
        <w:left w:w="70" w:type="dxa"/>
        <w:bottom w:w="4" w:type="dxa"/>
        <w:right w:w="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top w:w="54" w:type="dxa"/>
        <w:left w:w="72" w:type="dxa"/>
        <w:right w:w="54" w:type="dxa"/>
      </w:tblCellMar>
    </w:tblPr>
  </w:style>
  <w:style w:type="table" w:customStyle="1" w:styleId="ad">
    <w:basedOn w:val="TableNormal"/>
    <w:tblPr>
      <w:tblStyleRowBandSize w:val="1"/>
      <w:tblStyleColBandSize w:val="1"/>
      <w:tblCellMar>
        <w:top w:w="126" w:type="dxa"/>
        <w:left w:w="72" w:type="dxa"/>
        <w:right w:w="33" w:type="dxa"/>
      </w:tblCellMar>
    </w:tblPr>
  </w:style>
  <w:style w:type="table" w:customStyle="1" w:styleId="ae">
    <w:basedOn w:val="TableNormal"/>
    <w:tblPr>
      <w:tblStyleRowBandSize w:val="1"/>
      <w:tblStyleColBandSize w:val="1"/>
      <w:tblCellMar>
        <w:top w:w="50" w:type="dxa"/>
        <w:right w:w="13" w:type="dxa"/>
      </w:tblCellMar>
    </w:tblPr>
  </w:style>
  <w:style w:type="table" w:customStyle="1" w:styleId="af">
    <w:basedOn w:val="TableNormal"/>
    <w:tblPr>
      <w:tblStyleRowBandSize w:val="1"/>
      <w:tblStyleColBandSize w:val="1"/>
      <w:tblCellMar>
        <w:top w:w="50" w:type="dxa"/>
        <w:left w:w="108" w:type="dxa"/>
        <w:right w:w="10" w:type="dxa"/>
      </w:tblCellMar>
    </w:tblPr>
  </w:style>
  <w:style w:type="table" w:customStyle="1" w:styleId="af0">
    <w:basedOn w:val="TableNormal"/>
    <w:tblPr>
      <w:tblStyleRowBandSize w:val="1"/>
      <w:tblStyleColBandSize w:val="1"/>
      <w:tblCellMar>
        <w:top w:w="50" w:type="dxa"/>
        <w:left w:w="110" w:type="dxa"/>
        <w:right w:w="8" w:type="dxa"/>
      </w:tblCellMar>
    </w:tblPr>
  </w:style>
  <w:style w:type="table" w:customStyle="1" w:styleId="af1">
    <w:basedOn w:val="TableNormal"/>
    <w:tblPr>
      <w:tblStyleRowBandSize w:val="1"/>
      <w:tblStyleColBandSize w:val="1"/>
      <w:tblCellMar>
        <w:top w:w="50" w:type="dxa"/>
        <w:left w:w="108" w:type="dxa"/>
        <w:right w:w="6" w:type="dxa"/>
      </w:tblCellMar>
    </w:tblPr>
  </w:style>
  <w:style w:type="table" w:customStyle="1" w:styleId="af2">
    <w:basedOn w:val="TableNormal"/>
    <w:tblPr>
      <w:tblStyleRowBandSize w:val="1"/>
      <w:tblStyleColBandSize w:val="1"/>
      <w:tblCellMar>
        <w:top w:w="124" w:type="dxa"/>
        <w:left w:w="137" w:type="dxa"/>
        <w:right w:w="76" w:type="dxa"/>
      </w:tblCellMar>
    </w:tblPr>
  </w:style>
  <w:style w:type="table" w:customStyle="1" w:styleId="af3">
    <w:basedOn w:val="TableNormal"/>
    <w:tblPr>
      <w:tblStyleRowBandSize w:val="1"/>
      <w:tblStyleColBandSize w:val="1"/>
      <w:tblCellMar>
        <w:left w:w="72" w:type="dxa"/>
        <w:right w:w="7" w:type="dxa"/>
      </w:tblCellMar>
    </w:tblPr>
  </w:style>
  <w:style w:type="table" w:customStyle="1" w:styleId="af4">
    <w:basedOn w:val="TableNormal"/>
    <w:tblPr>
      <w:tblStyleRowBandSize w:val="1"/>
      <w:tblStyleColBandSize w:val="1"/>
      <w:tblCellMar>
        <w:top w:w="50" w:type="dxa"/>
        <w:left w:w="110" w:type="dxa"/>
        <w:right w:w="115"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08" w:type="dxa"/>
        <w:right w:w="115" w:type="dxa"/>
      </w:tblCellMar>
    </w:tblPr>
  </w:style>
  <w:style w:type="table" w:customStyle="1" w:styleId="af8">
    <w:basedOn w:val="TableNormal"/>
    <w:tblPr>
      <w:tblStyleRowBandSize w:val="1"/>
      <w:tblStyleColBandSize w:val="1"/>
      <w:tblCellMar>
        <w:top w:w="45" w:type="dxa"/>
        <w:left w:w="108" w:type="dxa"/>
        <w:right w:w="46" w:type="dxa"/>
      </w:tblCellMar>
    </w:tblPr>
  </w:style>
  <w:style w:type="table" w:customStyle="1" w:styleId="af9">
    <w:basedOn w:val="TableNormal"/>
    <w:tblPr>
      <w:tblStyleRowBandSize w:val="1"/>
      <w:tblStyleColBandSize w:val="1"/>
      <w:tblCellMar>
        <w:left w:w="108" w:type="dxa"/>
        <w:right w:w="142" w:type="dxa"/>
      </w:tblCellMar>
    </w:tblPr>
  </w:style>
  <w:style w:type="table" w:customStyle="1" w:styleId="afa">
    <w:basedOn w:val="TableNormal"/>
    <w:tblPr>
      <w:tblStyleRowBandSize w:val="1"/>
      <w:tblStyleColBandSize w:val="1"/>
      <w:tblCellMar>
        <w:top w:w="45" w:type="dxa"/>
        <w:left w:w="67" w:type="dxa"/>
        <w:right w:w="20" w:type="dxa"/>
      </w:tblCellMar>
    </w:tblPr>
  </w:style>
  <w:style w:type="table" w:customStyle="1" w:styleId="afb">
    <w:basedOn w:val="TableNormal"/>
    <w:tblPr>
      <w:tblStyleRowBandSize w:val="1"/>
      <w:tblStyleColBandSize w:val="1"/>
      <w:tblCellMar>
        <w:top w:w="54" w:type="dxa"/>
        <w:left w:w="151" w:type="dxa"/>
        <w:right w:w="83" w:type="dxa"/>
      </w:tblCellMar>
    </w:tblPr>
  </w:style>
  <w:style w:type="table" w:customStyle="1" w:styleId="afc">
    <w:basedOn w:val="TableNormal"/>
    <w:tblPr>
      <w:tblStyleRowBandSize w:val="1"/>
      <w:tblStyleColBandSize w:val="1"/>
      <w:tblCellMar>
        <w:top w:w="45" w:type="dxa"/>
        <w:left w:w="67" w:type="dxa"/>
        <w:right w:w="2" w:type="dxa"/>
      </w:tblCellMar>
    </w:tblPr>
  </w:style>
  <w:style w:type="table" w:customStyle="1" w:styleId="afd">
    <w:basedOn w:val="TableNormal"/>
    <w:tblPr>
      <w:tblStyleRowBandSize w:val="1"/>
      <w:tblStyleColBandSize w:val="1"/>
      <w:tblCellMar>
        <w:top w:w="50" w:type="dxa"/>
        <w:left w:w="115" w:type="dxa"/>
        <w:right w:w="115" w:type="dxa"/>
      </w:tblCellMar>
    </w:tblPr>
  </w:style>
  <w:style w:type="table" w:customStyle="1" w:styleId="afe">
    <w:basedOn w:val="TableNormal"/>
    <w:tblPr>
      <w:tblStyleRowBandSize w:val="1"/>
      <w:tblStyleColBandSize w:val="1"/>
      <w:tblCellMar>
        <w:top w:w="45" w:type="dxa"/>
        <w:left w:w="67" w:type="dxa"/>
        <w:right w:w="13" w:type="dxa"/>
      </w:tblCellMar>
    </w:tblPr>
  </w:style>
  <w:style w:type="table" w:customStyle="1" w:styleId="aff">
    <w:basedOn w:val="TableNormal"/>
    <w:tblPr>
      <w:tblStyleRowBandSize w:val="1"/>
      <w:tblStyleColBandSize w:val="1"/>
      <w:tblCellMar>
        <w:top w:w="45" w:type="dxa"/>
        <w:left w:w="70" w:type="dxa"/>
        <w:right w:w="1" w:type="dxa"/>
      </w:tblCellMar>
    </w:tblPr>
  </w:style>
  <w:style w:type="table" w:customStyle="1" w:styleId="aff0">
    <w:basedOn w:val="TableNormal"/>
    <w:tblPr>
      <w:tblStyleRowBandSize w:val="1"/>
      <w:tblStyleColBandSize w:val="1"/>
      <w:tblCellMar>
        <w:top w:w="1" w:type="dxa"/>
        <w:left w:w="70" w:type="dxa"/>
        <w:bottom w:w="1" w:type="dxa"/>
        <w:right w:w="9" w:type="dxa"/>
      </w:tblCellMar>
    </w:tblPr>
  </w:style>
  <w:style w:type="table" w:customStyle="1" w:styleId="aff1">
    <w:basedOn w:val="TableNormal"/>
    <w:tblPr>
      <w:tblStyleRowBandSize w:val="1"/>
      <w:tblStyleColBandSize w:val="1"/>
      <w:tblCellMar>
        <w:top w:w="52" w:type="dxa"/>
        <w:left w:w="108" w:type="dxa"/>
        <w:bottom w:w="3" w:type="dxa"/>
        <w:right w:w="115" w:type="dxa"/>
      </w:tblCellMar>
    </w:tblPr>
  </w:style>
  <w:style w:type="table" w:customStyle="1" w:styleId="aff2">
    <w:basedOn w:val="TableNormal"/>
    <w:tblPr>
      <w:tblStyleRowBandSize w:val="1"/>
      <w:tblStyleColBandSize w:val="1"/>
      <w:tblCellMar>
        <w:top w:w="56" w:type="dxa"/>
        <w:left w:w="70" w:type="dxa"/>
      </w:tblCellMar>
    </w:tblPr>
  </w:style>
  <w:style w:type="table" w:customStyle="1" w:styleId="aff3">
    <w:basedOn w:val="TableNormal"/>
    <w:tblPr>
      <w:tblStyleRowBandSize w:val="1"/>
      <w:tblStyleColBandSize w:val="1"/>
      <w:tblCellMar>
        <w:top w:w="50" w:type="dxa"/>
        <w:left w:w="106" w:type="dxa"/>
        <w:right w:w="46" w:type="dxa"/>
      </w:tblCellMar>
    </w:tblPr>
  </w:style>
  <w:style w:type="table" w:customStyle="1" w:styleId="aff4">
    <w:basedOn w:val="TableNormal"/>
    <w:tblPr>
      <w:tblStyleRowBandSize w:val="1"/>
      <w:tblStyleColBandSize w:val="1"/>
      <w:tblCellMar>
        <w:left w:w="70" w:type="dxa"/>
        <w:right w:w="70" w:type="dxa"/>
      </w:tblCellMar>
    </w:tblPr>
  </w:style>
  <w:style w:type="table" w:customStyle="1" w:styleId="aff5">
    <w:basedOn w:val="TableNormal"/>
    <w:tblPr>
      <w:tblStyleRowBandSize w:val="1"/>
      <w:tblStyleColBandSize w:val="1"/>
      <w:tblCellMar>
        <w:top w:w="110" w:type="dxa"/>
        <w:left w:w="72" w:type="dxa"/>
        <w:right w:w="9" w:type="dxa"/>
      </w:tblCellMar>
    </w:tblPr>
  </w:style>
  <w:style w:type="table" w:customStyle="1" w:styleId="aff6">
    <w:basedOn w:val="TableNormal"/>
    <w:tblPr>
      <w:tblStyleRowBandSize w:val="1"/>
      <w:tblStyleColBandSize w:val="1"/>
      <w:tblCellMar>
        <w:top w:w="112" w:type="dxa"/>
        <w:left w:w="70" w:type="dxa"/>
        <w:right w:w="9" w:type="dxa"/>
      </w:tblCellMar>
    </w:tblPr>
  </w:style>
  <w:style w:type="table" w:customStyle="1" w:styleId="aff7">
    <w:basedOn w:val="TableNormal"/>
    <w:tblPr>
      <w:tblStyleRowBandSize w:val="1"/>
      <w:tblStyleColBandSize w:val="1"/>
      <w:tblCellMar>
        <w:top w:w="110" w:type="dxa"/>
        <w:left w:w="72" w:type="dxa"/>
        <w:right w:w="6" w:type="dxa"/>
      </w:tblCellMar>
    </w:tblPr>
  </w:style>
  <w:style w:type="table" w:customStyle="1" w:styleId="aff8">
    <w:basedOn w:val="TableNormal"/>
    <w:tblPr>
      <w:tblStyleRowBandSize w:val="1"/>
      <w:tblStyleColBandSize w:val="1"/>
      <w:tblCellMar>
        <w:top w:w="110" w:type="dxa"/>
        <w:left w:w="72" w:type="dxa"/>
        <w:right w:w="6" w:type="dxa"/>
      </w:tblCellMar>
    </w:tblPr>
  </w:style>
  <w:style w:type="table" w:customStyle="1" w:styleId="aff9">
    <w:basedOn w:val="TableNormal"/>
    <w:tblPr>
      <w:tblStyleRowBandSize w:val="1"/>
      <w:tblStyleColBandSize w:val="1"/>
      <w:tblCellMar>
        <w:top w:w="110" w:type="dxa"/>
        <w:left w:w="108" w:type="dxa"/>
        <w:right w:w="45" w:type="dxa"/>
      </w:tblCellMar>
    </w:tblPr>
  </w:style>
  <w:style w:type="table" w:customStyle="1" w:styleId="affa">
    <w:basedOn w:val="TableNormal"/>
    <w:tblPr>
      <w:tblStyleRowBandSize w:val="1"/>
      <w:tblStyleColBandSize w:val="1"/>
      <w:tblCellMar>
        <w:top w:w="109" w:type="dxa"/>
        <w:left w:w="70" w:type="dxa"/>
        <w:right w:w="9" w:type="dxa"/>
      </w:tblCellMar>
    </w:tblPr>
  </w:style>
  <w:style w:type="table" w:customStyle="1" w:styleId="affb">
    <w:basedOn w:val="TableNormal"/>
    <w:tblPr>
      <w:tblStyleRowBandSize w:val="1"/>
      <w:tblStyleColBandSize w:val="1"/>
      <w:tblCellMar>
        <w:top w:w="109" w:type="dxa"/>
        <w:left w:w="103" w:type="dxa"/>
        <w:right w:w="44" w:type="dxa"/>
      </w:tblCellMar>
    </w:tblPr>
  </w:style>
  <w:style w:type="table" w:customStyle="1" w:styleId="affc">
    <w:basedOn w:val="TableNormal"/>
    <w:tblPr>
      <w:tblStyleRowBandSize w:val="1"/>
      <w:tblStyleColBandSize w:val="1"/>
      <w:tblCellMar>
        <w:top w:w="110" w:type="dxa"/>
        <w:left w:w="110" w:type="dxa"/>
        <w:right w:w="45" w:type="dxa"/>
      </w:tblCellMar>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CellMar>
        <w:top w:w="48" w:type="dxa"/>
        <w:left w:w="110" w:type="dxa"/>
        <w:right w:w="9" w:type="dxa"/>
      </w:tblCellMar>
    </w:tblPr>
  </w:style>
  <w:style w:type="table" w:customStyle="1" w:styleId="afff">
    <w:basedOn w:val="TableNormal"/>
    <w:tblPr>
      <w:tblStyleRowBandSize w:val="1"/>
      <w:tblStyleColBandSize w:val="1"/>
      <w:tblCellMar>
        <w:top w:w="54" w:type="dxa"/>
        <w:left w:w="139" w:type="dxa"/>
        <w:right w:w="67" w:type="dxa"/>
      </w:tblCellMar>
    </w:tblPr>
  </w:style>
  <w:style w:type="table" w:customStyle="1" w:styleId="afff0">
    <w:basedOn w:val="TableNormal"/>
    <w:tblPr>
      <w:tblStyleRowBandSize w:val="1"/>
      <w:tblStyleColBandSize w:val="1"/>
      <w:tblCellMar>
        <w:top w:w="54" w:type="dxa"/>
        <w:left w:w="108" w:type="dxa"/>
        <w:right w:w="55" w:type="dxa"/>
      </w:tblCellMar>
    </w:tblPr>
  </w:style>
  <w:style w:type="table" w:customStyle="1" w:styleId="afff1">
    <w:basedOn w:val="TableNormal"/>
    <w:tblPr>
      <w:tblStyleRowBandSize w:val="1"/>
      <w:tblStyleColBandSize w:val="1"/>
      <w:tblCellMar>
        <w:top w:w="69" w:type="dxa"/>
        <w:left w:w="43" w:type="dxa"/>
      </w:tblCellMar>
    </w:tblPr>
  </w:style>
  <w:style w:type="table" w:customStyle="1" w:styleId="afff2">
    <w:basedOn w:val="TableNormal"/>
    <w:tblPr>
      <w:tblStyleRowBandSize w:val="1"/>
      <w:tblStyleColBandSize w:val="1"/>
      <w:tblCellMar>
        <w:top w:w="54" w:type="dxa"/>
        <w:left w:w="106" w:type="dxa"/>
        <w:right w:w="115" w:type="dxa"/>
      </w:tblCellMar>
    </w:tblPr>
  </w:style>
  <w:style w:type="table" w:customStyle="1" w:styleId="afff3">
    <w:basedOn w:val="TableNormal"/>
    <w:tblPr>
      <w:tblStyleRowBandSize w:val="1"/>
      <w:tblStyleColBandSize w:val="1"/>
      <w:tblCellMar>
        <w:top w:w="53" w:type="dxa"/>
        <w:left w:w="106" w:type="dxa"/>
        <w:right w:w="115" w:type="dxa"/>
      </w:tblCellMar>
    </w:tblPr>
  </w:style>
  <w:style w:type="table" w:customStyle="1" w:styleId="afff4">
    <w:basedOn w:val="TableNormal"/>
    <w:tblPr>
      <w:tblStyleRowBandSize w:val="1"/>
      <w:tblStyleColBandSize w:val="1"/>
      <w:tblCellMar>
        <w:top w:w="53" w:type="dxa"/>
        <w:left w:w="106" w:type="dxa"/>
        <w:right w:w="115" w:type="dxa"/>
      </w:tblCellMar>
    </w:tblPr>
  </w:style>
  <w:style w:type="table" w:customStyle="1" w:styleId="afff5">
    <w:basedOn w:val="TableNormal"/>
    <w:tblPr>
      <w:tblStyleRowBandSize w:val="1"/>
      <w:tblStyleColBandSize w:val="1"/>
      <w:tblCellMar>
        <w:top w:w="56" w:type="dxa"/>
        <w:left w:w="70" w:type="dxa"/>
      </w:tblCellMar>
    </w:tblPr>
  </w:style>
  <w:style w:type="table" w:customStyle="1" w:styleId="afff6">
    <w:basedOn w:val="TableNormal"/>
    <w:tblPr>
      <w:tblStyleRowBandSize w:val="1"/>
      <w:tblStyleColBandSize w:val="1"/>
      <w:tblCellMar>
        <w:top w:w="55" w:type="dxa"/>
        <w:left w:w="70" w:type="dxa"/>
        <w:right w:w="1" w:type="dxa"/>
      </w:tblCellMar>
    </w:tblPr>
  </w:style>
  <w:style w:type="table" w:customStyle="1" w:styleId="afff7">
    <w:basedOn w:val="TableNormal"/>
    <w:tblPr>
      <w:tblStyleRowBandSize w:val="1"/>
      <w:tblStyleColBandSize w:val="1"/>
      <w:tblCellMar>
        <w:top w:w="54" w:type="dxa"/>
        <w:left w:w="108" w:type="dxa"/>
        <w:right w:w="36"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top w:w="165" w:type="dxa"/>
        <w:left w:w="108" w:type="dxa"/>
        <w:right w:w="38" w:type="dxa"/>
      </w:tblCellMar>
    </w:tblPr>
  </w:style>
  <w:style w:type="table" w:customStyle="1" w:styleId="afffa">
    <w:basedOn w:val="TableNormal"/>
    <w:tblPr>
      <w:tblStyleRowBandSize w:val="1"/>
      <w:tblStyleColBandSize w:val="1"/>
      <w:tblCellMar>
        <w:left w:w="108" w:type="dxa"/>
        <w:right w:w="64" w:type="dxa"/>
      </w:tblCellMar>
    </w:tblPr>
  </w:style>
  <w:style w:type="table" w:customStyle="1" w:styleId="afffb">
    <w:basedOn w:val="TableNormal"/>
    <w:tblPr>
      <w:tblStyleRowBandSize w:val="1"/>
      <w:tblStyleColBandSize w:val="1"/>
      <w:tblCellMar>
        <w:left w:w="108" w:type="dxa"/>
        <w:right w:w="42" w:type="dxa"/>
      </w:tblCellMar>
    </w:tblPr>
  </w:style>
  <w:style w:type="table" w:customStyle="1" w:styleId="afffc">
    <w:basedOn w:val="TableNormal"/>
    <w:tblPr>
      <w:tblStyleRowBandSize w:val="1"/>
      <w:tblStyleColBandSize w:val="1"/>
      <w:tblCellMar>
        <w:top w:w="167" w:type="dxa"/>
        <w:left w:w="108" w:type="dxa"/>
        <w:right w:w="42" w:type="dxa"/>
      </w:tblCellMar>
    </w:tblPr>
  </w:style>
  <w:style w:type="table" w:customStyle="1" w:styleId="afffd">
    <w:basedOn w:val="TableNormal"/>
    <w:tblPr>
      <w:tblStyleRowBandSize w:val="1"/>
      <w:tblStyleColBandSize w:val="1"/>
      <w:tblCellMar>
        <w:left w:w="108" w:type="dxa"/>
        <w:right w:w="45" w:type="dxa"/>
      </w:tblCellMar>
    </w:tblPr>
  </w:style>
  <w:style w:type="table" w:customStyle="1" w:styleId="afffe">
    <w:basedOn w:val="TableNormal"/>
    <w:tblPr>
      <w:tblStyleRowBandSize w:val="1"/>
      <w:tblStyleColBandSize w:val="1"/>
      <w:tblCellMar>
        <w:left w:w="120" w:type="dxa"/>
        <w:right w:w="52" w:type="dxa"/>
      </w:tblCellMar>
    </w:tblPr>
  </w:style>
  <w:style w:type="table" w:customStyle="1" w:styleId="affff">
    <w:basedOn w:val="TableNormal"/>
    <w:tblPr>
      <w:tblStyleRowBandSize w:val="1"/>
      <w:tblStyleColBandSize w:val="1"/>
      <w:tblCellMar>
        <w:top w:w="170" w:type="dxa"/>
        <w:left w:w="108" w:type="dxa"/>
        <w:bottom w:w="3" w:type="dxa"/>
        <w:right w:w="50" w:type="dxa"/>
      </w:tblCellMar>
    </w:tblPr>
  </w:style>
  <w:style w:type="table" w:customStyle="1" w:styleId="affff0">
    <w:basedOn w:val="TableNormal"/>
    <w:tblPr>
      <w:tblStyleRowBandSize w:val="1"/>
      <w:tblStyleColBandSize w:val="1"/>
      <w:tblCellMar>
        <w:right w:w="83" w:type="dxa"/>
      </w:tblCellMar>
    </w:tblPr>
  </w:style>
  <w:style w:type="table" w:customStyle="1" w:styleId="affff1">
    <w:basedOn w:val="TableNormal"/>
    <w:tblPr>
      <w:tblStyleRowBandSize w:val="1"/>
      <w:tblStyleColBandSize w:val="1"/>
      <w:tblCellMar>
        <w:left w:w="144" w:type="dxa"/>
        <w:right w:w="74" w:type="dxa"/>
      </w:tblCellMar>
    </w:tblPr>
  </w:style>
  <w:style w:type="table" w:customStyle="1" w:styleId="affff2">
    <w:basedOn w:val="TableNormal"/>
    <w:tblPr>
      <w:tblStyleRowBandSize w:val="1"/>
      <w:tblStyleColBandSize w:val="1"/>
      <w:tblCellMar>
        <w:top w:w="174" w:type="dxa"/>
        <w:left w:w="115" w:type="dxa"/>
        <w:right w:w="55" w:type="dxa"/>
      </w:tblCellMar>
    </w:tblPr>
  </w:style>
  <w:style w:type="table" w:customStyle="1" w:styleId="affff3">
    <w:basedOn w:val="TableNormal"/>
    <w:tblPr>
      <w:tblStyleRowBandSize w:val="1"/>
      <w:tblStyleColBandSize w:val="1"/>
      <w:tblCellMar>
        <w:left w:w="115" w:type="dxa"/>
        <w:right w:w="40" w:type="dxa"/>
      </w:tblCellMar>
    </w:tblPr>
  </w:style>
  <w:style w:type="table" w:customStyle="1" w:styleId="affff4">
    <w:basedOn w:val="TableNormal"/>
    <w:tblPr>
      <w:tblStyleRowBandSize w:val="1"/>
      <w:tblStyleColBandSize w:val="1"/>
      <w:tblCellMar>
        <w:left w:w="115" w:type="dxa"/>
        <w:right w:w="40" w:type="dxa"/>
      </w:tblCellMar>
    </w:tblPr>
  </w:style>
  <w:style w:type="table" w:customStyle="1" w:styleId="affff5">
    <w:basedOn w:val="TableNormal"/>
    <w:tblPr>
      <w:tblStyleRowBandSize w:val="1"/>
      <w:tblStyleColBandSize w:val="1"/>
      <w:tblCellMar>
        <w:left w:w="108" w:type="dxa"/>
        <w:right w:w="108" w:type="dxa"/>
      </w:tblCellMar>
    </w:tblPr>
  </w:style>
  <w:style w:type="table" w:customStyle="1" w:styleId="affff6">
    <w:basedOn w:val="TableNormal"/>
    <w:tblPr>
      <w:tblStyleRowBandSize w:val="1"/>
      <w:tblStyleColBandSize w:val="1"/>
      <w:tblCellMar>
        <w:top w:w="56" w:type="dxa"/>
        <w:left w:w="108" w:type="dxa"/>
        <w:right w:w="38" w:type="dxa"/>
      </w:tblCellMar>
    </w:tblPr>
  </w:style>
  <w:style w:type="table" w:customStyle="1" w:styleId="affff7">
    <w:basedOn w:val="TableNormal"/>
    <w:tblPr>
      <w:tblStyleRowBandSize w:val="1"/>
      <w:tblStyleColBandSize w:val="1"/>
      <w:tblCellMar>
        <w:left w:w="108" w:type="dxa"/>
        <w:right w:w="64" w:type="dxa"/>
      </w:tblCellMar>
    </w:tblPr>
  </w:style>
  <w:style w:type="table" w:customStyle="1" w:styleId="affff8">
    <w:basedOn w:val="TableNormal"/>
    <w:tblPr>
      <w:tblStyleRowBandSize w:val="1"/>
      <w:tblStyleColBandSize w:val="1"/>
      <w:tblCellMar>
        <w:left w:w="108" w:type="dxa"/>
        <w:right w:w="39" w:type="dxa"/>
      </w:tblCellMar>
    </w:tblPr>
  </w:style>
  <w:style w:type="table" w:customStyle="1" w:styleId="affff9">
    <w:basedOn w:val="TableNormal"/>
    <w:tblPr>
      <w:tblStyleRowBandSize w:val="1"/>
      <w:tblStyleColBandSize w:val="1"/>
      <w:tblCellMar>
        <w:top w:w="167" w:type="dxa"/>
        <w:left w:w="108" w:type="dxa"/>
        <w:right w:w="44" w:type="dxa"/>
      </w:tblCellMar>
    </w:tblPr>
  </w:style>
  <w:style w:type="table" w:customStyle="1" w:styleId="affffa">
    <w:basedOn w:val="TableNormal"/>
    <w:tblPr>
      <w:tblStyleRowBandSize w:val="1"/>
      <w:tblStyleColBandSize w:val="1"/>
      <w:tblCellMar>
        <w:left w:w="108" w:type="dxa"/>
        <w:right w:w="45" w:type="dxa"/>
      </w:tblCellMar>
    </w:tblPr>
  </w:style>
  <w:style w:type="table" w:customStyle="1" w:styleId="affffb">
    <w:basedOn w:val="TableNormal"/>
    <w:tblPr>
      <w:tblStyleRowBandSize w:val="1"/>
      <w:tblStyleColBandSize w:val="1"/>
      <w:tblCellMar>
        <w:left w:w="108" w:type="dxa"/>
        <w:right w:w="69" w:type="dxa"/>
      </w:tblCellMar>
    </w:tblPr>
  </w:style>
  <w:style w:type="table" w:customStyle="1" w:styleId="affffc">
    <w:basedOn w:val="TableNormal"/>
    <w:tblPr>
      <w:tblStyleRowBandSize w:val="1"/>
      <w:tblStyleColBandSize w:val="1"/>
      <w:tblCellMar>
        <w:left w:w="108" w:type="dxa"/>
        <w:right w:w="50" w:type="dxa"/>
      </w:tblCellMar>
    </w:tblPr>
  </w:style>
  <w:style w:type="table" w:customStyle="1" w:styleId="affffd">
    <w:basedOn w:val="TableNormal"/>
    <w:tblPr>
      <w:tblStyleRowBandSize w:val="1"/>
      <w:tblStyleColBandSize w:val="1"/>
      <w:tblCellMar>
        <w:right w:w="83" w:type="dxa"/>
      </w:tblCellMar>
    </w:tblPr>
  </w:style>
  <w:style w:type="table" w:customStyle="1" w:styleId="affffe">
    <w:basedOn w:val="TableNormal"/>
    <w:tblPr>
      <w:tblStyleRowBandSize w:val="1"/>
      <w:tblStyleColBandSize w:val="1"/>
      <w:tblCellMar>
        <w:left w:w="144" w:type="dxa"/>
        <w:right w:w="74" w:type="dxa"/>
      </w:tblCellMar>
    </w:tblPr>
  </w:style>
  <w:style w:type="table" w:customStyle="1" w:styleId="afffff">
    <w:basedOn w:val="TableNormal"/>
    <w:tblPr>
      <w:tblStyleRowBandSize w:val="1"/>
      <w:tblStyleColBandSize w:val="1"/>
      <w:tblCellMar>
        <w:top w:w="174" w:type="dxa"/>
        <w:left w:w="115" w:type="dxa"/>
        <w:right w:w="55" w:type="dxa"/>
      </w:tblCellMar>
    </w:tblPr>
  </w:style>
  <w:style w:type="table" w:customStyle="1" w:styleId="afffff0">
    <w:basedOn w:val="TableNormal"/>
    <w:tblPr>
      <w:tblStyleRowBandSize w:val="1"/>
      <w:tblStyleColBandSize w:val="1"/>
      <w:tblCellMar>
        <w:left w:w="115" w:type="dxa"/>
        <w:right w:w="40" w:type="dxa"/>
      </w:tblCellMar>
    </w:tblPr>
  </w:style>
  <w:style w:type="table" w:customStyle="1" w:styleId="afffff1">
    <w:basedOn w:val="TableNormal"/>
    <w:tblPr>
      <w:tblStyleRowBandSize w:val="1"/>
      <w:tblStyleColBandSize w:val="1"/>
      <w:tblCellMar>
        <w:left w:w="115" w:type="dxa"/>
        <w:right w:w="40" w:type="dxa"/>
      </w:tblCellMar>
    </w:tblPr>
  </w:style>
  <w:style w:type="table" w:customStyle="1" w:styleId="afffff2">
    <w:basedOn w:val="TableNormal"/>
    <w:tblPr>
      <w:tblStyleRowBandSize w:val="1"/>
      <w:tblStyleColBandSize w:val="1"/>
      <w:tblCellMar>
        <w:top w:w="165" w:type="dxa"/>
        <w:left w:w="108" w:type="dxa"/>
        <w:right w:w="38" w:type="dxa"/>
      </w:tblCellMar>
    </w:tblPr>
  </w:style>
  <w:style w:type="table" w:customStyle="1" w:styleId="afffff3">
    <w:basedOn w:val="TableNormal"/>
    <w:tblPr>
      <w:tblStyleRowBandSize w:val="1"/>
      <w:tblStyleColBandSize w:val="1"/>
      <w:tblCellMar>
        <w:left w:w="108" w:type="dxa"/>
        <w:right w:w="40" w:type="dxa"/>
      </w:tblCellMar>
    </w:tblPr>
  </w:style>
  <w:style w:type="table" w:customStyle="1" w:styleId="afffff4">
    <w:basedOn w:val="TableNormal"/>
    <w:tblPr>
      <w:tblStyleRowBandSize w:val="1"/>
      <w:tblStyleColBandSize w:val="1"/>
      <w:tblCellMar>
        <w:left w:w="108" w:type="dxa"/>
        <w:right w:w="38" w:type="dxa"/>
      </w:tblCellMar>
    </w:tblPr>
  </w:style>
  <w:style w:type="table" w:customStyle="1" w:styleId="afffff5">
    <w:basedOn w:val="TableNormal"/>
    <w:tblPr>
      <w:tblStyleRowBandSize w:val="1"/>
      <w:tblStyleColBandSize w:val="1"/>
      <w:tblCellMar>
        <w:top w:w="170" w:type="dxa"/>
        <w:left w:w="108" w:type="dxa"/>
        <w:bottom w:w="3" w:type="dxa"/>
        <w:right w:w="42" w:type="dxa"/>
      </w:tblCellMar>
    </w:tblPr>
  </w:style>
  <w:style w:type="table" w:customStyle="1" w:styleId="afffff6">
    <w:basedOn w:val="TableNormal"/>
    <w:tblPr>
      <w:tblStyleRowBandSize w:val="1"/>
      <w:tblStyleColBandSize w:val="1"/>
      <w:tblCellMar>
        <w:right w:w="79" w:type="dxa"/>
      </w:tblCellMar>
    </w:tblPr>
  </w:style>
  <w:style w:type="table" w:customStyle="1" w:styleId="afffff7">
    <w:basedOn w:val="TableNormal"/>
    <w:tblPr>
      <w:tblStyleRowBandSize w:val="1"/>
      <w:tblStyleColBandSize w:val="1"/>
      <w:tblCellMar>
        <w:left w:w="144" w:type="dxa"/>
        <w:right w:w="74" w:type="dxa"/>
      </w:tblCellMar>
    </w:tblPr>
  </w:style>
  <w:style w:type="table" w:customStyle="1" w:styleId="afffff8">
    <w:basedOn w:val="TableNormal"/>
    <w:tblPr>
      <w:tblStyleRowBandSize w:val="1"/>
      <w:tblStyleColBandSize w:val="1"/>
      <w:tblCellMar>
        <w:top w:w="174" w:type="dxa"/>
        <w:left w:w="115" w:type="dxa"/>
        <w:right w:w="55" w:type="dxa"/>
      </w:tblCellMar>
    </w:tblPr>
  </w:style>
  <w:style w:type="table" w:customStyle="1" w:styleId="afffff9">
    <w:basedOn w:val="TableNormal"/>
    <w:tblPr>
      <w:tblStyleRowBandSize w:val="1"/>
      <w:tblStyleColBandSize w:val="1"/>
      <w:tblCellMar>
        <w:top w:w="54" w:type="dxa"/>
        <w:left w:w="163" w:type="dxa"/>
        <w:right w:w="95" w:type="dxa"/>
      </w:tblCellMar>
    </w:tblPr>
  </w:style>
  <w:style w:type="table" w:customStyle="1" w:styleId="afffffa">
    <w:basedOn w:val="TableNormal"/>
    <w:tblPr>
      <w:tblStyleRowBandSize w:val="1"/>
      <w:tblStyleColBandSize w:val="1"/>
      <w:tblCellMar>
        <w:top w:w="59" w:type="dxa"/>
        <w:left w:w="115" w:type="dxa"/>
        <w:right w:w="115" w:type="dxa"/>
      </w:tblCellMar>
    </w:tblPr>
  </w:style>
  <w:style w:type="table" w:customStyle="1" w:styleId="afffffb">
    <w:basedOn w:val="TableNormal"/>
    <w:tblPr>
      <w:tblStyleRowBandSize w:val="1"/>
      <w:tblStyleColBandSize w:val="1"/>
      <w:tblCellMar>
        <w:top w:w="54" w:type="dxa"/>
        <w:left w:w="134" w:type="dxa"/>
        <w:right w:w="69" w:type="dxa"/>
      </w:tblCellMar>
    </w:tblPr>
  </w:style>
  <w:style w:type="table" w:customStyle="1" w:styleId="afffffc">
    <w:basedOn w:val="TableNormal"/>
    <w:tblPr>
      <w:tblStyleRowBandSize w:val="1"/>
      <w:tblStyleColBandSize w:val="1"/>
      <w:tblCellMar>
        <w:left w:w="115" w:type="dxa"/>
        <w:right w:w="40" w:type="dxa"/>
      </w:tblCellMar>
    </w:tblPr>
  </w:style>
  <w:style w:type="table" w:customStyle="1" w:styleId="afffffd">
    <w:basedOn w:val="TableNormal"/>
    <w:tblPr>
      <w:tblStyleRowBandSize w:val="1"/>
      <w:tblStyleColBandSize w:val="1"/>
      <w:tblCellMar>
        <w:left w:w="110" w:type="dxa"/>
        <w:right w:w="38"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top w:w="45" w:type="dxa"/>
        <w:left w:w="29" w:type="dxa"/>
      </w:tblCellMar>
    </w:tblPr>
  </w:style>
  <w:style w:type="table" w:customStyle="1" w:styleId="affffff0">
    <w:basedOn w:val="TableNormal"/>
    <w:tblPr>
      <w:tblStyleRowBandSize w:val="1"/>
      <w:tblStyleColBandSize w:val="1"/>
      <w:tblCellMar>
        <w:left w:w="108" w:type="dxa"/>
        <w:right w:w="38" w:type="dxa"/>
      </w:tblCellMar>
    </w:tblPr>
  </w:style>
  <w:style w:type="table" w:customStyle="1" w:styleId="affffff1">
    <w:basedOn w:val="TableNormal"/>
    <w:tblPr>
      <w:tblStyleRowBandSize w:val="1"/>
      <w:tblStyleColBandSize w:val="1"/>
      <w:tblCellMar>
        <w:top w:w="54" w:type="dxa"/>
        <w:left w:w="127" w:type="dxa"/>
        <w:right w:w="11" w:type="dxa"/>
      </w:tblCellMar>
    </w:tblPr>
  </w:style>
  <w:style w:type="table" w:customStyle="1" w:styleId="affffff2">
    <w:basedOn w:val="TableNormal"/>
    <w:tblPr>
      <w:tblStyleRowBandSize w:val="1"/>
      <w:tblStyleColBandSize w:val="1"/>
      <w:tblCellMar>
        <w:top w:w="48" w:type="dxa"/>
        <w:bottom w:w="2" w:type="dxa"/>
        <w:right w:w="67" w:type="dxa"/>
      </w:tblCellMar>
    </w:tblPr>
  </w:style>
  <w:style w:type="table" w:customStyle="1" w:styleId="affffff3">
    <w:basedOn w:val="TableNormal"/>
    <w:tblPr>
      <w:tblStyleRowBandSize w:val="1"/>
      <w:tblStyleColBandSize w:val="1"/>
      <w:tblCellMar>
        <w:top w:w="21" w:type="dxa"/>
        <w:left w:w="108" w:type="dxa"/>
        <w:bottom w:w="2" w:type="dxa"/>
        <w:right w:w="45" w:type="dxa"/>
      </w:tblCellMar>
    </w:tblPr>
  </w:style>
  <w:style w:type="table" w:customStyle="1" w:styleId="affffff4">
    <w:basedOn w:val="TableNormal"/>
    <w:tblPr>
      <w:tblStyleRowBandSize w:val="1"/>
      <w:tblStyleColBandSize w:val="1"/>
      <w:tblCellMar>
        <w:top w:w="54" w:type="dxa"/>
        <w:left w:w="108" w:type="dxa"/>
        <w:right w:w="107" w:type="dxa"/>
      </w:tblCellMar>
    </w:tblPr>
  </w:style>
  <w:style w:type="table" w:customStyle="1" w:styleId="affffff5">
    <w:basedOn w:val="TableNormal"/>
    <w:tblPr>
      <w:tblStyleRowBandSize w:val="1"/>
      <w:tblStyleColBandSize w:val="1"/>
      <w:tblCellMar>
        <w:top w:w="54" w:type="dxa"/>
        <w:left w:w="108" w:type="dxa"/>
        <w:right w:w="115" w:type="dxa"/>
      </w:tblCellMar>
    </w:tblPr>
  </w:style>
  <w:style w:type="table" w:customStyle="1" w:styleId="affffff6">
    <w:basedOn w:val="TableNormal"/>
    <w:tblPr>
      <w:tblStyleRowBandSize w:val="1"/>
      <w:tblStyleColBandSize w:val="1"/>
      <w:tblCellMar>
        <w:top w:w="95" w:type="dxa"/>
        <w:left w:w="58" w:type="dxa"/>
      </w:tblCellMar>
    </w:tblPr>
  </w:style>
  <w:style w:type="table" w:customStyle="1" w:styleId="affffff7">
    <w:basedOn w:val="TableNormal"/>
    <w:tblPr>
      <w:tblStyleRowBandSize w:val="1"/>
      <w:tblStyleColBandSize w:val="1"/>
      <w:tblCellMar>
        <w:top w:w="105" w:type="dxa"/>
      </w:tblCellMar>
    </w:tblPr>
  </w:style>
  <w:style w:type="table" w:customStyle="1" w:styleId="affffff8">
    <w:basedOn w:val="TableNormal"/>
    <w:tblPr>
      <w:tblStyleRowBandSize w:val="1"/>
      <w:tblStyleColBandSize w:val="1"/>
      <w:tblCellMar>
        <w:top w:w="50" w:type="dxa"/>
        <w:left w:w="108" w:type="dxa"/>
        <w:right w:w="45" w:type="dxa"/>
      </w:tblCellMar>
    </w:tblPr>
  </w:style>
  <w:style w:type="table" w:customStyle="1" w:styleId="affffff9">
    <w:basedOn w:val="TableNormal"/>
    <w:tblPr>
      <w:tblStyleRowBandSize w:val="1"/>
      <w:tblStyleColBandSize w:val="1"/>
      <w:tblCellMar>
        <w:top w:w="45" w:type="dxa"/>
        <w:left w:w="108" w:type="dxa"/>
        <w:right w:w="25" w:type="dxa"/>
      </w:tblCellMar>
    </w:tblPr>
  </w:style>
  <w:style w:type="table" w:customStyle="1" w:styleId="affffffa">
    <w:basedOn w:val="TableNormal"/>
    <w:tblPr>
      <w:tblStyleRowBandSize w:val="1"/>
      <w:tblStyleColBandSize w:val="1"/>
      <w:tblCellMar>
        <w:left w:w="77" w:type="dxa"/>
        <w:right w:w="7" w:type="dxa"/>
      </w:tblCellMar>
    </w:tblPr>
  </w:style>
  <w:style w:type="table" w:customStyle="1" w:styleId="affffffb">
    <w:basedOn w:val="TableNormal"/>
    <w:tblPr>
      <w:tblStyleRowBandSize w:val="1"/>
      <w:tblStyleColBandSize w:val="1"/>
      <w:tblCellMar>
        <w:left w:w="29" w:type="dxa"/>
      </w:tblCellMar>
    </w:tblPr>
  </w:style>
  <w:style w:type="table" w:customStyle="1" w:styleId="affffffc">
    <w:basedOn w:val="TableNormal"/>
    <w:tblPr>
      <w:tblStyleRowBandSize w:val="1"/>
      <w:tblStyleColBandSize w:val="1"/>
      <w:tblCellMar>
        <w:top w:w="52" w:type="dxa"/>
        <w:left w:w="70" w:type="dxa"/>
        <w:right w:w="9" w:type="dxa"/>
      </w:tblCellMar>
    </w:tblPr>
  </w:style>
  <w:style w:type="table" w:customStyle="1" w:styleId="affffffd">
    <w:basedOn w:val="TableNormal"/>
    <w:tblPr>
      <w:tblStyleRowBandSize w:val="1"/>
      <w:tblStyleColBandSize w:val="1"/>
      <w:tblCellMar>
        <w:top w:w="54" w:type="dxa"/>
        <w:left w:w="72" w:type="dxa"/>
      </w:tblCellMar>
    </w:tblPr>
  </w:style>
  <w:style w:type="table" w:customStyle="1" w:styleId="affffffe">
    <w:basedOn w:val="TableNormal"/>
    <w:tblPr>
      <w:tblStyleRowBandSize w:val="1"/>
      <w:tblStyleColBandSize w:val="1"/>
      <w:tblCellMar>
        <w:top w:w="54" w:type="dxa"/>
        <w:left w:w="70" w:type="dxa"/>
        <w:right w:w="7" w:type="dxa"/>
      </w:tblCellMar>
    </w:tblPr>
  </w:style>
  <w:style w:type="table" w:customStyle="1" w:styleId="afffffff">
    <w:basedOn w:val="TableNormal"/>
    <w:tblPr>
      <w:tblStyleRowBandSize w:val="1"/>
      <w:tblStyleColBandSize w:val="1"/>
      <w:tblCellMar>
        <w:top w:w="49" w:type="dxa"/>
        <w:left w:w="108" w:type="dxa"/>
        <w:right w:w="44" w:type="dxa"/>
      </w:tblCellMar>
    </w:tblPr>
  </w:style>
  <w:style w:type="table" w:customStyle="1" w:styleId="afffffff0">
    <w:basedOn w:val="TableNormal"/>
    <w:tblPr>
      <w:tblStyleRowBandSize w:val="1"/>
      <w:tblStyleColBandSize w:val="1"/>
      <w:tblCellMar>
        <w:left w:w="108" w:type="dxa"/>
        <w:bottom w:w="4" w:type="dxa"/>
        <w:right w:w="38" w:type="dxa"/>
      </w:tblCellMar>
    </w:tblPr>
  </w:style>
  <w:style w:type="table" w:customStyle="1" w:styleId="afffffff1">
    <w:basedOn w:val="TableNormal"/>
    <w:tblPr>
      <w:tblStyleRowBandSize w:val="1"/>
      <w:tblStyleColBandSize w:val="1"/>
      <w:tblCellMar>
        <w:top w:w="158" w:type="dxa"/>
        <w:left w:w="108" w:type="dxa"/>
        <w:right w:w="115" w:type="dxa"/>
      </w:tblCellMar>
    </w:tblPr>
  </w:style>
  <w:style w:type="table" w:customStyle="1" w:styleId="afffffff2">
    <w:basedOn w:val="TableNormal"/>
    <w:tblPr>
      <w:tblStyleRowBandSize w:val="1"/>
      <w:tblStyleColBandSize w:val="1"/>
      <w:tblCellMar>
        <w:top w:w="54" w:type="dxa"/>
        <w:left w:w="108" w:type="dxa"/>
        <w:right w:w="56" w:type="dxa"/>
      </w:tblCellMar>
    </w:tblPr>
  </w:style>
  <w:style w:type="table" w:customStyle="1" w:styleId="afffffff3">
    <w:basedOn w:val="TableNormal"/>
    <w:tblPr>
      <w:tblStyleRowBandSize w:val="1"/>
      <w:tblStyleColBandSize w:val="1"/>
      <w:tblCellMar>
        <w:top w:w="54" w:type="dxa"/>
        <w:left w:w="108" w:type="dxa"/>
        <w:right w:w="59" w:type="dxa"/>
      </w:tblCellMar>
    </w:tblPr>
  </w:style>
  <w:style w:type="table" w:customStyle="1" w:styleId="afffffff4">
    <w:basedOn w:val="TableNormal"/>
    <w:tblPr>
      <w:tblStyleRowBandSize w:val="1"/>
      <w:tblStyleColBandSize w:val="1"/>
      <w:tblCellMar>
        <w:top w:w="54" w:type="dxa"/>
        <w:left w:w="108" w:type="dxa"/>
        <w:right w:w="115" w:type="dxa"/>
      </w:tblCellMar>
    </w:tblPr>
  </w:style>
  <w:style w:type="table" w:customStyle="1" w:styleId="afffffff5">
    <w:basedOn w:val="TableNormal"/>
    <w:tblPr>
      <w:tblStyleRowBandSize w:val="1"/>
      <w:tblStyleColBandSize w:val="1"/>
      <w:tblCellMar>
        <w:top w:w="54" w:type="dxa"/>
        <w:left w:w="108" w:type="dxa"/>
        <w:right w:w="115" w:type="dxa"/>
      </w:tblCellMar>
    </w:tblPr>
  </w:style>
  <w:style w:type="table" w:customStyle="1" w:styleId="afffffff6">
    <w:basedOn w:val="TableNormal"/>
    <w:tblPr>
      <w:tblStyleRowBandSize w:val="1"/>
      <w:tblStyleColBandSize w:val="1"/>
      <w:tblCellMar>
        <w:top w:w="49" w:type="dxa"/>
        <w:left w:w="108" w:type="dxa"/>
        <w:right w:w="61" w:type="dxa"/>
      </w:tblCellMar>
    </w:tblPr>
  </w:style>
  <w:style w:type="table" w:customStyle="1" w:styleId="afffffff7">
    <w:basedOn w:val="TableNormal"/>
    <w:tblPr>
      <w:tblStyleRowBandSize w:val="1"/>
      <w:tblStyleColBandSize w:val="1"/>
      <w:tblCellMar>
        <w:top w:w="54" w:type="dxa"/>
        <w:left w:w="115" w:type="dxa"/>
        <w:right w:w="68" w:type="dxa"/>
      </w:tblCellMar>
    </w:tblPr>
  </w:style>
  <w:style w:type="table" w:customStyle="1" w:styleId="afffffff8">
    <w:basedOn w:val="TableNormal"/>
    <w:tblPr>
      <w:tblStyleRowBandSize w:val="1"/>
      <w:tblStyleColBandSize w:val="1"/>
      <w:tblCellMar>
        <w:top w:w="54" w:type="dxa"/>
        <w:left w:w="110" w:type="dxa"/>
        <w:right w:w="38" w:type="dxa"/>
      </w:tblCellMar>
    </w:tblPr>
  </w:style>
  <w:style w:type="table" w:customStyle="1" w:styleId="afffffff9">
    <w:basedOn w:val="TableNormal"/>
    <w:tblPr>
      <w:tblStyleRowBandSize w:val="1"/>
      <w:tblStyleColBandSize w:val="1"/>
      <w:tblCellMar>
        <w:top w:w="54" w:type="dxa"/>
        <w:left w:w="72" w:type="dxa"/>
        <w:right w:w="13" w:type="dxa"/>
      </w:tblCellMar>
    </w:tblPr>
  </w:style>
  <w:style w:type="table" w:customStyle="1" w:styleId="afffffffa">
    <w:basedOn w:val="TableNormal"/>
    <w:tblPr>
      <w:tblStyleRowBandSize w:val="1"/>
      <w:tblStyleColBandSize w:val="1"/>
      <w:tblCellMar>
        <w:top w:w="54" w:type="dxa"/>
        <w:left w:w="70" w:type="dxa"/>
        <w:right w:w="26" w:type="dxa"/>
      </w:tblCellMar>
    </w:tblPr>
  </w:style>
  <w:style w:type="table" w:customStyle="1" w:styleId="afffffffb">
    <w:basedOn w:val="TableNormal"/>
    <w:tblPr>
      <w:tblStyleRowBandSize w:val="1"/>
      <w:tblStyleColBandSize w:val="1"/>
      <w:tblCellMar>
        <w:top w:w="50" w:type="dxa"/>
        <w:left w:w="106" w:type="dxa"/>
        <w:right w:w="70" w:type="dxa"/>
      </w:tblCellMar>
    </w:tblPr>
  </w:style>
  <w:style w:type="table" w:customStyle="1" w:styleId="afffffffc">
    <w:basedOn w:val="TableNormal"/>
    <w:tblPr>
      <w:tblStyleRowBandSize w:val="1"/>
      <w:tblStyleColBandSize w:val="1"/>
      <w:tblCellMar>
        <w:top w:w="50" w:type="dxa"/>
        <w:left w:w="106" w:type="dxa"/>
        <w:right w:w="50" w:type="dxa"/>
      </w:tblCellMar>
    </w:tblPr>
  </w:style>
  <w:style w:type="table" w:customStyle="1" w:styleId="afffffffd">
    <w:basedOn w:val="TableNormal"/>
    <w:tblPr>
      <w:tblStyleRowBandSize w:val="1"/>
      <w:tblStyleColBandSize w:val="1"/>
      <w:tblCellMar>
        <w:top w:w="50" w:type="dxa"/>
        <w:left w:w="106" w:type="dxa"/>
        <w:right w:w="43" w:type="dxa"/>
      </w:tblCellMar>
    </w:tblPr>
  </w:style>
  <w:style w:type="table" w:customStyle="1" w:styleId="afffffffe">
    <w:basedOn w:val="TableNormal"/>
    <w:tblPr>
      <w:tblStyleRowBandSize w:val="1"/>
      <w:tblStyleColBandSize w:val="1"/>
      <w:tblCellMar>
        <w:top w:w="29" w:type="dxa"/>
        <w:left w:w="106" w:type="dxa"/>
        <w:right w:w="49" w:type="dxa"/>
      </w:tblCellMar>
    </w:tblPr>
  </w:style>
  <w:style w:type="table" w:customStyle="1" w:styleId="affffffff">
    <w:basedOn w:val="TableNormal"/>
    <w:tblPr>
      <w:tblStyleRowBandSize w:val="1"/>
      <w:tblStyleColBandSize w:val="1"/>
      <w:tblCellMar>
        <w:top w:w="54" w:type="dxa"/>
        <w:left w:w="204" w:type="dxa"/>
        <w:right w:w="115" w:type="dxa"/>
      </w:tblCellMar>
    </w:tblPr>
  </w:style>
  <w:style w:type="table" w:customStyle="1" w:styleId="affffffff0">
    <w:basedOn w:val="TableNormal"/>
    <w:tblPr>
      <w:tblStyleRowBandSize w:val="1"/>
      <w:tblStyleColBandSize w:val="1"/>
      <w:tblCellMar>
        <w:top w:w="50" w:type="dxa"/>
        <w:left w:w="94" w:type="dxa"/>
        <w:right w:w="34" w:type="dxa"/>
      </w:tblCellMar>
    </w:tblPr>
  </w:style>
  <w:style w:type="table" w:customStyle="1" w:styleId="affffffff1">
    <w:basedOn w:val="TableNormal"/>
    <w:tblPr>
      <w:tblStyleRowBandSize w:val="1"/>
      <w:tblStyleColBandSize w:val="1"/>
      <w:tblCellMar>
        <w:top w:w="59" w:type="dxa"/>
        <w:left w:w="115" w:type="dxa"/>
        <w:right w:w="115" w:type="dxa"/>
      </w:tblCellMar>
    </w:tblPr>
  </w:style>
  <w:style w:type="table" w:customStyle="1" w:styleId="affffffff2">
    <w:basedOn w:val="TableNormal"/>
    <w:tblPr>
      <w:tblStyleRowBandSize w:val="1"/>
      <w:tblStyleColBandSize w:val="1"/>
      <w:tblCellMar>
        <w:top w:w="50" w:type="dxa"/>
        <w:left w:w="74" w:type="dxa"/>
        <w:right w:w="16" w:type="dxa"/>
      </w:tblCellMar>
    </w:tblPr>
  </w:style>
  <w:style w:type="table" w:customStyle="1" w:styleId="affffffff3">
    <w:basedOn w:val="TableNormal"/>
    <w:tblPr>
      <w:tblStyleRowBandSize w:val="1"/>
      <w:tblStyleColBandSize w:val="1"/>
      <w:tblCellMar>
        <w:left w:w="109" w:type="dxa"/>
        <w:right w:w="48" w:type="dxa"/>
      </w:tblCellMar>
    </w:tblPr>
  </w:style>
  <w:style w:type="table" w:customStyle="1" w:styleId="affffffff4">
    <w:basedOn w:val="TableNormal"/>
    <w:tblPr>
      <w:tblStyleRowBandSize w:val="1"/>
      <w:tblStyleColBandSize w:val="1"/>
      <w:tblCellMar>
        <w:left w:w="110" w:type="dxa"/>
        <w:bottom w:w="40" w:type="dxa"/>
        <w:right w:w="35" w:type="dxa"/>
      </w:tblCellMar>
    </w:tblPr>
  </w:style>
  <w:style w:type="table" w:customStyle="1" w:styleId="affffffff5">
    <w:basedOn w:val="TableNormal"/>
    <w:tblPr>
      <w:tblStyleRowBandSize w:val="1"/>
      <w:tblStyleColBandSize w:val="1"/>
      <w:tblCellMar>
        <w:left w:w="70" w:type="dxa"/>
        <w:right w:w="70" w:type="dxa"/>
      </w:tblCellMar>
    </w:tblPr>
  </w:style>
  <w:style w:type="table" w:customStyle="1" w:styleId="affffffff6">
    <w:basedOn w:val="TableNormal"/>
    <w:tblPr>
      <w:tblStyleRowBandSize w:val="1"/>
      <w:tblStyleColBandSize w:val="1"/>
      <w:tblCellMar>
        <w:left w:w="70" w:type="dxa"/>
        <w:right w:w="70" w:type="dxa"/>
      </w:tblCellMar>
    </w:tblPr>
  </w:style>
  <w:style w:type="table" w:customStyle="1" w:styleId="affffffff7">
    <w:basedOn w:val="TableNormal"/>
    <w:tblPr>
      <w:tblStyleRowBandSize w:val="1"/>
      <w:tblStyleColBandSize w:val="1"/>
      <w:tblCellMar>
        <w:left w:w="70" w:type="dxa"/>
        <w:right w:w="70" w:type="dxa"/>
      </w:tblCellMar>
    </w:tblPr>
  </w:style>
  <w:style w:type="table" w:customStyle="1" w:styleId="affffffff8">
    <w:basedOn w:val="TableNormal"/>
    <w:tblPr>
      <w:tblStyleRowBandSize w:val="1"/>
      <w:tblStyleColBandSize w:val="1"/>
      <w:tblCellMar>
        <w:left w:w="70" w:type="dxa"/>
        <w:right w:w="70" w:type="dxa"/>
      </w:tblCellMar>
    </w:tblPr>
  </w:style>
  <w:style w:type="table" w:customStyle="1" w:styleId="affffffff9">
    <w:basedOn w:val="TableNormal"/>
    <w:tblPr>
      <w:tblStyleRowBandSize w:val="1"/>
      <w:tblStyleColBandSize w:val="1"/>
      <w:tblCellMar>
        <w:left w:w="70" w:type="dxa"/>
        <w:right w:w="70" w:type="dxa"/>
      </w:tblCellMar>
    </w:tblPr>
  </w:style>
  <w:style w:type="table" w:customStyle="1" w:styleId="affffffffa">
    <w:basedOn w:val="TableNormal"/>
    <w:tblPr>
      <w:tblStyleRowBandSize w:val="1"/>
      <w:tblStyleColBandSize w:val="1"/>
      <w:tblCellMar>
        <w:left w:w="70" w:type="dxa"/>
        <w:right w:w="70" w:type="dxa"/>
      </w:tblCellMar>
    </w:tblPr>
  </w:style>
  <w:style w:type="table" w:customStyle="1" w:styleId="affffffffb">
    <w:basedOn w:val="TableNormal"/>
    <w:tblPr>
      <w:tblStyleRowBandSize w:val="1"/>
      <w:tblStyleColBandSize w:val="1"/>
      <w:tblCellMar>
        <w:left w:w="70" w:type="dxa"/>
        <w:right w:w="70" w:type="dxa"/>
      </w:tblCellMar>
    </w:tblPr>
  </w:style>
  <w:style w:type="table" w:customStyle="1" w:styleId="affffffffc">
    <w:basedOn w:val="TableNormal"/>
    <w:tblPr>
      <w:tblStyleRowBandSize w:val="1"/>
      <w:tblStyleColBandSize w:val="1"/>
      <w:tblCellMar>
        <w:left w:w="70" w:type="dxa"/>
        <w:right w:w="70" w:type="dxa"/>
      </w:tblCellMar>
    </w:tblPr>
  </w:style>
  <w:style w:type="table" w:customStyle="1" w:styleId="affffffffd">
    <w:basedOn w:val="TableNormal"/>
    <w:tblPr>
      <w:tblStyleRowBandSize w:val="1"/>
      <w:tblStyleColBandSize w:val="1"/>
      <w:tblCellMar>
        <w:left w:w="108" w:type="dxa"/>
        <w:right w:w="108" w:type="dxa"/>
      </w:tblCellMar>
    </w:tblPr>
  </w:style>
  <w:style w:type="table" w:customStyle="1" w:styleId="affffffffe">
    <w:basedOn w:val="TableNormal"/>
    <w:tblPr>
      <w:tblStyleRowBandSize w:val="1"/>
      <w:tblStyleColBandSize w:val="1"/>
      <w:tblCellMar>
        <w:left w:w="108" w:type="dxa"/>
        <w:right w:w="108" w:type="dxa"/>
      </w:tblCellMar>
    </w:tblPr>
  </w:style>
  <w:style w:type="table" w:customStyle="1" w:styleId="afffffffff">
    <w:basedOn w:val="TableNormal"/>
    <w:tblPr>
      <w:tblStyleRowBandSize w:val="1"/>
      <w:tblStyleColBandSize w:val="1"/>
      <w:tblCellMar>
        <w:left w:w="70" w:type="dxa"/>
        <w:right w:w="70" w:type="dxa"/>
      </w:tblCellMar>
    </w:tblPr>
  </w:style>
  <w:style w:type="table" w:customStyle="1" w:styleId="afffffffff0">
    <w:basedOn w:val="TableNormal"/>
    <w:tblPr>
      <w:tblStyleRowBandSize w:val="1"/>
      <w:tblStyleColBandSize w:val="1"/>
    </w:tblPr>
  </w:style>
  <w:style w:type="table" w:customStyle="1" w:styleId="afffffffff1">
    <w:basedOn w:val="TableNormal"/>
    <w:tblPr>
      <w:tblStyleRowBandSize w:val="1"/>
      <w:tblStyleColBandSize w:val="1"/>
    </w:tblPr>
  </w:style>
  <w:style w:type="table" w:customStyle="1" w:styleId="afffffffff2">
    <w:basedOn w:val="TableNormal"/>
    <w:tblPr>
      <w:tblStyleRowBandSize w:val="1"/>
      <w:tblStyleColBandSize w:val="1"/>
      <w:tblCellMar>
        <w:left w:w="70" w:type="dxa"/>
        <w:right w:w="70" w:type="dxa"/>
      </w:tblCellMar>
    </w:tblPr>
  </w:style>
  <w:style w:type="table" w:customStyle="1" w:styleId="afffffffff3">
    <w:basedOn w:val="TableNormal"/>
    <w:tblPr>
      <w:tblStyleRowBandSize w:val="1"/>
      <w:tblStyleColBandSize w:val="1"/>
      <w:tblCellMar>
        <w:left w:w="108" w:type="dxa"/>
        <w:right w:w="108" w:type="dxa"/>
      </w:tblCellMar>
    </w:tblPr>
  </w:style>
  <w:style w:type="table" w:customStyle="1" w:styleId="afffffffff4">
    <w:basedOn w:val="TableNormal"/>
    <w:tblPr>
      <w:tblStyleRowBandSize w:val="1"/>
      <w:tblStyleColBandSize w:val="1"/>
      <w:tblCellMar>
        <w:left w:w="108" w:type="dxa"/>
        <w:right w:w="108" w:type="dxa"/>
      </w:tblCellMar>
    </w:tblPr>
  </w:style>
  <w:style w:type="table" w:customStyle="1" w:styleId="afffffffff5">
    <w:basedOn w:val="TableNormal"/>
    <w:tblPr>
      <w:tblStyleRowBandSize w:val="1"/>
      <w:tblStyleColBandSize w:val="1"/>
      <w:tblCellMar>
        <w:top w:w="8" w:type="dxa"/>
        <w:left w:w="110" w:type="dxa"/>
        <w:right w:w="61" w:type="dxa"/>
      </w:tblCellMar>
    </w:tblPr>
  </w:style>
  <w:style w:type="table" w:customStyle="1" w:styleId="afffffffff6">
    <w:basedOn w:val="TableNormal"/>
    <w:tblPr>
      <w:tblStyleRowBandSize w:val="1"/>
      <w:tblStyleColBandSize w:val="1"/>
      <w:tblCellMar>
        <w:left w:w="108" w:type="dxa"/>
        <w:right w:w="64" w:type="dxa"/>
      </w:tblCellMar>
    </w:tblPr>
  </w:style>
  <w:style w:type="table" w:customStyle="1" w:styleId="afffffffff7">
    <w:basedOn w:val="TableNormal"/>
    <w:tblPr>
      <w:tblStyleRowBandSize w:val="1"/>
      <w:tblStyleColBandSize w:val="1"/>
      <w:tblCellMar>
        <w:left w:w="108" w:type="dxa"/>
        <w:right w:w="108" w:type="dxa"/>
      </w:tblCellMar>
    </w:tblPr>
  </w:style>
  <w:style w:type="table" w:customStyle="1" w:styleId="afffffffff8">
    <w:basedOn w:val="TableNormal"/>
    <w:tblPr>
      <w:tblStyleRowBandSize w:val="1"/>
      <w:tblStyleColBandSize w:val="1"/>
      <w:tblCellMar>
        <w:left w:w="70" w:type="dxa"/>
        <w:right w:w="70" w:type="dxa"/>
      </w:tblCellMar>
    </w:tblPr>
  </w:style>
  <w:style w:type="table" w:customStyle="1" w:styleId="afffffffff9">
    <w:basedOn w:val="TableNormal"/>
    <w:tblPr>
      <w:tblStyleRowBandSize w:val="1"/>
      <w:tblStyleColBandSize w:val="1"/>
      <w:tblCellMar>
        <w:left w:w="108" w:type="dxa"/>
        <w:right w:w="108" w:type="dxa"/>
      </w:tblCellMar>
    </w:tblPr>
  </w:style>
  <w:style w:type="table" w:customStyle="1" w:styleId="afffffffffa">
    <w:basedOn w:val="TableNormal"/>
    <w:tblPr>
      <w:tblStyleRowBandSize w:val="1"/>
      <w:tblStyleColBandSize w:val="1"/>
      <w:tblCellMar>
        <w:left w:w="108" w:type="dxa"/>
        <w:right w:w="108" w:type="dxa"/>
      </w:tblCellMar>
    </w:tblPr>
  </w:style>
  <w:style w:type="table" w:customStyle="1" w:styleId="afffffffffb">
    <w:basedOn w:val="TableNormal"/>
    <w:tblPr>
      <w:tblStyleRowBandSize w:val="1"/>
      <w:tblStyleColBandSize w:val="1"/>
      <w:tblCellMar>
        <w:left w:w="70" w:type="dxa"/>
        <w:right w:w="70" w:type="dxa"/>
      </w:tblCellMar>
    </w:tblPr>
  </w:style>
  <w:style w:type="table" w:customStyle="1" w:styleId="afffffffffc">
    <w:basedOn w:val="TableNormal"/>
    <w:tblPr>
      <w:tblStyleRowBandSize w:val="1"/>
      <w:tblStyleColBandSize w:val="1"/>
      <w:tblCellMar>
        <w:left w:w="70" w:type="dxa"/>
        <w:right w:w="70" w:type="dxa"/>
      </w:tblCellMar>
    </w:tblPr>
  </w:style>
  <w:style w:type="table" w:customStyle="1" w:styleId="afffffffffd">
    <w:basedOn w:val="TableNormal"/>
    <w:tblPr>
      <w:tblStyleRowBandSize w:val="1"/>
      <w:tblStyleColBandSize w:val="1"/>
    </w:tblPr>
  </w:style>
  <w:style w:type="table" w:customStyle="1" w:styleId="afffffffffe">
    <w:basedOn w:val="TableNormal"/>
    <w:tblPr>
      <w:tblStyleRowBandSize w:val="1"/>
      <w:tblStyleColBandSize w:val="1"/>
      <w:tblCellMar>
        <w:left w:w="70" w:type="dxa"/>
        <w:right w:w="70" w:type="dxa"/>
      </w:tblCellMar>
    </w:tblPr>
  </w:style>
  <w:style w:type="table" w:customStyle="1" w:styleId="affffffffff">
    <w:basedOn w:val="TableNormal"/>
    <w:tblPr>
      <w:tblStyleRowBandSize w:val="1"/>
      <w:tblStyleColBandSize w:val="1"/>
      <w:tblCellMar>
        <w:left w:w="70" w:type="dxa"/>
        <w:right w:w="70" w:type="dxa"/>
      </w:tblCellMar>
    </w:tblPr>
  </w:style>
  <w:style w:type="table" w:customStyle="1" w:styleId="affffffffff0">
    <w:basedOn w:val="TableNormal"/>
    <w:tblPr>
      <w:tblStyleRowBandSize w:val="1"/>
      <w:tblStyleColBandSize w:val="1"/>
      <w:tblCellMar>
        <w:left w:w="70" w:type="dxa"/>
        <w:right w:w="70" w:type="dxa"/>
      </w:tblCellMar>
    </w:tblPr>
  </w:style>
  <w:style w:type="table" w:customStyle="1" w:styleId="affffffffff1">
    <w:basedOn w:val="TableNormal"/>
    <w:tblPr>
      <w:tblStyleRowBandSize w:val="1"/>
      <w:tblStyleColBandSize w:val="1"/>
      <w:tblCellMar>
        <w:left w:w="70" w:type="dxa"/>
        <w:right w:w="70" w:type="dxa"/>
      </w:tblCellMar>
    </w:tblPr>
  </w:style>
  <w:style w:type="table" w:customStyle="1" w:styleId="affffffffff2">
    <w:basedOn w:val="TableNormal"/>
    <w:tblPr>
      <w:tblStyleRowBandSize w:val="1"/>
      <w:tblStyleColBandSize w:val="1"/>
      <w:tblCellMar>
        <w:left w:w="70" w:type="dxa"/>
        <w:right w:w="70" w:type="dxa"/>
      </w:tblCellMar>
    </w:tblPr>
  </w:style>
  <w:style w:type="paragraph" w:styleId="Nagwek">
    <w:name w:val="header"/>
    <w:basedOn w:val="Normalny"/>
    <w:link w:val="NagwekZnak"/>
    <w:uiPriority w:val="99"/>
    <w:unhideWhenUsed/>
    <w:rsid w:val="001F44F6"/>
    <w:pPr>
      <w:tabs>
        <w:tab w:val="center" w:pos="4536"/>
        <w:tab w:val="right" w:pos="9072"/>
      </w:tabs>
    </w:pPr>
  </w:style>
  <w:style w:type="character" w:customStyle="1" w:styleId="NagwekZnak">
    <w:name w:val="Nagłówek Znak"/>
    <w:basedOn w:val="Domylnaczcionkaakapitu"/>
    <w:link w:val="Nagwek"/>
    <w:uiPriority w:val="99"/>
    <w:rsid w:val="001F44F6"/>
  </w:style>
  <w:style w:type="paragraph" w:styleId="Stopka">
    <w:name w:val="footer"/>
    <w:basedOn w:val="Normalny"/>
    <w:link w:val="StopkaZnak"/>
    <w:uiPriority w:val="99"/>
    <w:unhideWhenUsed/>
    <w:rsid w:val="001F44F6"/>
    <w:pPr>
      <w:tabs>
        <w:tab w:val="center" w:pos="4536"/>
        <w:tab w:val="right" w:pos="9072"/>
      </w:tabs>
    </w:pPr>
  </w:style>
  <w:style w:type="character" w:customStyle="1" w:styleId="StopkaZnak">
    <w:name w:val="Stopka Znak"/>
    <w:basedOn w:val="Domylnaczcionkaakapitu"/>
    <w:link w:val="Stopka"/>
    <w:uiPriority w:val="99"/>
    <w:rsid w:val="001F44F6"/>
  </w:style>
  <w:style w:type="paragraph" w:styleId="Tekstdymka">
    <w:name w:val="Balloon Text"/>
    <w:basedOn w:val="Normalny"/>
    <w:link w:val="TekstdymkaZnak"/>
    <w:uiPriority w:val="99"/>
    <w:semiHidden/>
    <w:unhideWhenUsed/>
    <w:rsid w:val="007E1D1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1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8919</Words>
  <Characters>53516</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LISPUS</dc:creator>
  <cp:lastModifiedBy>Janusz Brzezicki</cp:lastModifiedBy>
  <cp:revision>15</cp:revision>
  <dcterms:created xsi:type="dcterms:W3CDTF">2022-02-08T20:34:00Z</dcterms:created>
  <dcterms:modified xsi:type="dcterms:W3CDTF">2025-11-22T14:33:00Z</dcterms:modified>
</cp:coreProperties>
</file>